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4063F" w14:textId="77D7171A" w:rsidR="00824859" w:rsidRDefault="00824859">
      <w:pPr>
        <w:spacing w:after="160" w:line="259" w:lineRule="auto"/>
        <w:rPr>
          <w:rFonts w:cs="Tahoma"/>
          <w:b/>
          <w:bCs/>
          <w:sz w:val="24"/>
          <w:szCs w:val="24"/>
        </w:rPr>
      </w:pPr>
      <w:r>
        <w:rPr>
          <w:rFonts w:cs="Tahoma"/>
          <w:b/>
          <w:bCs/>
          <w:sz w:val="24"/>
          <w:szCs w:val="24"/>
        </w:rPr>
        <w:t>DCP 266 Relating to discussions on differences between a notional and actual business</w:t>
      </w:r>
    </w:p>
    <w:p w14:paraId="1B246A5A" w14:textId="49E139D0" w:rsidR="00824859" w:rsidRPr="00CA7E4E" w:rsidRDefault="00824859" w:rsidP="00A8116C">
      <w:pPr>
        <w:spacing w:after="120" w:line="276" w:lineRule="auto"/>
        <w:rPr>
          <w:rFonts w:cs="Tahoma"/>
          <w:b/>
          <w:bCs/>
        </w:rPr>
      </w:pPr>
      <w:r w:rsidRPr="00CA7E4E">
        <w:rPr>
          <w:rFonts w:cs="Tahoma"/>
          <w:b/>
          <w:bCs/>
        </w:rPr>
        <w:t>Introduction</w:t>
      </w:r>
    </w:p>
    <w:p w14:paraId="61839661" w14:textId="07C1E2A0" w:rsidR="00D46B4D" w:rsidRDefault="00824859" w:rsidP="00A8116C">
      <w:pPr>
        <w:spacing w:after="120" w:line="276" w:lineRule="auto"/>
        <w:jc w:val="both"/>
        <w:rPr>
          <w:rFonts w:cs="Tahoma"/>
          <w:bCs/>
        </w:rPr>
      </w:pPr>
      <w:r w:rsidRPr="00824859">
        <w:rPr>
          <w:rFonts w:cs="Tahoma"/>
          <w:bCs/>
        </w:rPr>
        <w:t>At the DCP 266 meeting</w:t>
      </w:r>
      <w:r w:rsidR="00D46B4D">
        <w:rPr>
          <w:rFonts w:cs="Tahoma"/>
          <w:bCs/>
        </w:rPr>
        <w:t xml:space="preserve"> of the 20 March 2018</w:t>
      </w:r>
      <w:r w:rsidRPr="00824859">
        <w:rPr>
          <w:rFonts w:cs="Tahoma"/>
          <w:bCs/>
        </w:rPr>
        <w:t xml:space="preserve"> there was </w:t>
      </w:r>
      <w:r w:rsidR="00D46B4D">
        <w:rPr>
          <w:rFonts w:cs="Tahoma"/>
          <w:bCs/>
        </w:rPr>
        <w:t>considerable</w:t>
      </w:r>
      <w:r w:rsidRPr="00824859">
        <w:rPr>
          <w:rFonts w:cs="Tahoma"/>
          <w:bCs/>
        </w:rPr>
        <w:t xml:space="preserve"> discussion </w:t>
      </w:r>
      <w:r w:rsidR="00D46B4D">
        <w:rPr>
          <w:rFonts w:cs="Tahoma"/>
          <w:bCs/>
        </w:rPr>
        <w:t xml:space="preserve">on the </w:t>
      </w:r>
      <w:r w:rsidRPr="00824859">
        <w:rPr>
          <w:rFonts w:cs="Tahoma"/>
          <w:bCs/>
        </w:rPr>
        <w:t xml:space="preserve">difference between what </w:t>
      </w:r>
      <w:r w:rsidR="00703070">
        <w:rPr>
          <w:rFonts w:cs="Tahoma"/>
          <w:bCs/>
        </w:rPr>
        <w:t>a DNO’s</w:t>
      </w:r>
      <w:r w:rsidRPr="00824859">
        <w:rPr>
          <w:rFonts w:cs="Tahoma"/>
          <w:bCs/>
        </w:rPr>
        <w:t xml:space="preserve"> </w:t>
      </w:r>
      <w:r w:rsidR="00D46B4D">
        <w:rPr>
          <w:rFonts w:cs="Tahoma"/>
          <w:bCs/>
        </w:rPr>
        <w:t>“</w:t>
      </w:r>
      <w:r w:rsidRPr="00824859">
        <w:rPr>
          <w:rFonts w:cs="Tahoma"/>
          <w:bCs/>
        </w:rPr>
        <w:t>notional</w:t>
      </w:r>
      <w:r w:rsidR="00D46B4D">
        <w:rPr>
          <w:rFonts w:cs="Tahoma"/>
          <w:bCs/>
        </w:rPr>
        <w:t>”</w:t>
      </w:r>
      <w:r w:rsidRPr="00824859">
        <w:rPr>
          <w:rFonts w:cs="Tahoma"/>
          <w:bCs/>
        </w:rPr>
        <w:t xml:space="preserve"> and </w:t>
      </w:r>
      <w:r w:rsidR="00D46B4D">
        <w:rPr>
          <w:rFonts w:cs="Tahoma"/>
          <w:bCs/>
        </w:rPr>
        <w:t>“</w:t>
      </w:r>
      <w:r w:rsidRPr="00824859">
        <w:rPr>
          <w:rFonts w:cs="Tahoma"/>
          <w:bCs/>
        </w:rPr>
        <w:t>actual</w:t>
      </w:r>
      <w:r w:rsidR="00D46B4D">
        <w:rPr>
          <w:rFonts w:cs="Tahoma"/>
          <w:bCs/>
        </w:rPr>
        <w:t>”</w:t>
      </w:r>
      <w:r w:rsidRPr="00824859">
        <w:rPr>
          <w:rFonts w:cs="Tahoma"/>
          <w:bCs/>
        </w:rPr>
        <w:t xml:space="preserve"> business.  </w:t>
      </w:r>
      <w:r w:rsidR="00D46B4D">
        <w:rPr>
          <w:rFonts w:cs="Tahoma"/>
          <w:bCs/>
        </w:rPr>
        <w:t>Th</w:t>
      </w:r>
      <w:r w:rsidR="00D63EE7">
        <w:rPr>
          <w:rFonts w:cs="Tahoma"/>
          <w:bCs/>
        </w:rPr>
        <w:t>is</w:t>
      </w:r>
      <w:r w:rsidR="00D46B4D">
        <w:rPr>
          <w:rFonts w:cs="Tahoma"/>
          <w:bCs/>
        </w:rPr>
        <w:t xml:space="preserve"> was in relation to </w:t>
      </w:r>
      <w:r w:rsidR="00703070">
        <w:rPr>
          <w:rFonts w:cs="Tahoma"/>
          <w:bCs/>
        </w:rPr>
        <w:t xml:space="preserve">the </w:t>
      </w:r>
      <w:r w:rsidR="00D63EE7">
        <w:rPr>
          <w:rFonts w:cs="Tahoma"/>
          <w:bCs/>
        </w:rPr>
        <w:t xml:space="preserve">differences </w:t>
      </w:r>
      <w:r w:rsidR="00703070">
        <w:rPr>
          <w:rFonts w:cs="Tahoma"/>
          <w:bCs/>
        </w:rPr>
        <w:t xml:space="preserve">between the notional and actual </w:t>
      </w:r>
      <w:r w:rsidR="00D63EE7">
        <w:rPr>
          <w:rFonts w:cs="Tahoma"/>
          <w:bCs/>
        </w:rPr>
        <w:t xml:space="preserve">costs </w:t>
      </w:r>
      <w:r w:rsidR="00D46B4D">
        <w:rPr>
          <w:rFonts w:cs="Tahoma"/>
          <w:bCs/>
        </w:rPr>
        <w:t xml:space="preserve">and </w:t>
      </w:r>
      <w:r w:rsidR="00703070">
        <w:rPr>
          <w:rFonts w:cs="Tahoma"/>
          <w:bCs/>
        </w:rPr>
        <w:t xml:space="preserve">how </w:t>
      </w:r>
      <w:r w:rsidR="00D63EE7">
        <w:rPr>
          <w:rFonts w:cs="Tahoma"/>
          <w:bCs/>
        </w:rPr>
        <w:t>they</w:t>
      </w:r>
      <w:r w:rsidR="00703070">
        <w:rPr>
          <w:rFonts w:cs="Tahoma"/>
          <w:bCs/>
        </w:rPr>
        <w:t xml:space="preserve"> should be used in the methodology </w:t>
      </w:r>
      <w:r w:rsidR="00D46B4D">
        <w:rPr>
          <w:rFonts w:cs="Tahoma"/>
          <w:bCs/>
        </w:rPr>
        <w:t xml:space="preserve">to determine </w:t>
      </w:r>
      <w:r w:rsidR="00703070">
        <w:rPr>
          <w:rFonts w:cs="Tahoma"/>
          <w:bCs/>
        </w:rPr>
        <w:t>IDNO ma</w:t>
      </w:r>
      <w:r w:rsidR="00D46B4D">
        <w:rPr>
          <w:rFonts w:cs="Tahoma"/>
          <w:bCs/>
        </w:rPr>
        <w:t>rgins.</w:t>
      </w:r>
    </w:p>
    <w:p w14:paraId="341FD936" w14:textId="320212A3" w:rsidR="00D63EE7" w:rsidRDefault="00D63EE7" w:rsidP="00A8116C">
      <w:pPr>
        <w:spacing w:after="120" w:line="276" w:lineRule="auto"/>
        <w:jc w:val="both"/>
        <w:rPr>
          <w:rFonts w:cs="Tahoma"/>
          <w:bCs/>
        </w:rPr>
      </w:pPr>
      <w:r>
        <w:rPr>
          <w:rFonts w:cs="Tahoma"/>
          <w:bCs/>
        </w:rPr>
        <w:t>This brief note tries to clarify why the term “</w:t>
      </w:r>
      <w:r w:rsidRPr="00D63EE7">
        <w:rPr>
          <w:rFonts w:cs="Tahoma"/>
          <w:bCs/>
          <w:i/>
        </w:rPr>
        <w:t>notional</w:t>
      </w:r>
      <w:r>
        <w:rPr>
          <w:rFonts w:cs="Tahoma"/>
          <w:bCs/>
        </w:rPr>
        <w:t>” business is used.</w:t>
      </w:r>
    </w:p>
    <w:p w14:paraId="129A409E" w14:textId="6F710595" w:rsidR="00EB2D25" w:rsidRDefault="00703070" w:rsidP="00A8116C">
      <w:pPr>
        <w:spacing w:line="276" w:lineRule="auto"/>
        <w:jc w:val="both"/>
        <w:rPr>
          <w:rFonts w:cs="Tahoma"/>
          <w:bCs/>
        </w:rPr>
      </w:pPr>
      <w:r>
        <w:rPr>
          <w:rFonts w:cs="Tahoma"/>
          <w:bCs/>
        </w:rPr>
        <w:t>“</w:t>
      </w:r>
      <w:r w:rsidRPr="00703070">
        <w:rPr>
          <w:rFonts w:cs="Tahoma"/>
          <w:bCs/>
          <w:i/>
        </w:rPr>
        <w:t>For the avoidance of doubt</w:t>
      </w:r>
      <w:r>
        <w:rPr>
          <w:rFonts w:cs="Tahoma"/>
          <w:bCs/>
        </w:rPr>
        <w:t xml:space="preserve">” The </w:t>
      </w:r>
      <w:r w:rsidR="00EB2D25">
        <w:rPr>
          <w:rFonts w:cs="Tahoma"/>
          <w:bCs/>
        </w:rPr>
        <w:t xml:space="preserve">opinions in this </w:t>
      </w:r>
      <w:r>
        <w:rPr>
          <w:rFonts w:cs="Tahoma"/>
          <w:bCs/>
        </w:rPr>
        <w:t xml:space="preserve">briefing note </w:t>
      </w:r>
      <w:r w:rsidR="00EB2D25">
        <w:rPr>
          <w:rFonts w:cs="Tahoma"/>
          <w:bCs/>
        </w:rPr>
        <w:t>are</w:t>
      </w:r>
      <w:r>
        <w:rPr>
          <w:rFonts w:cs="Tahoma"/>
          <w:bCs/>
        </w:rPr>
        <w:t xml:space="preserve"> not provided as </w:t>
      </w:r>
      <w:r w:rsidR="00EB2D25">
        <w:rPr>
          <w:rFonts w:cs="Tahoma"/>
          <w:bCs/>
        </w:rPr>
        <w:t xml:space="preserve">formal </w:t>
      </w:r>
      <w:r>
        <w:rPr>
          <w:rFonts w:cs="Tahoma"/>
          <w:bCs/>
        </w:rPr>
        <w:t xml:space="preserve">legal advice to the </w:t>
      </w:r>
      <w:r w:rsidR="00EB2D25">
        <w:rPr>
          <w:rFonts w:cs="Tahoma"/>
          <w:bCs/>
        </w:rPr>
        <w:t>working group or to working group members; the working group or individual members should seek their own advice if and where it is required.  The opinions are based on previous case law</w:t>
      </w:r>
      <w:r w:rsidR="00EB2D25">
        <w:rPr>
          <w:rStyle w:val="FootnoteReference"/>
          <w:rFonts w:cs="Tahoma"/>
          <w:bCs/>
        </w:rPr>
        <w:footnoteReference w:id="1"/>
      </w:r>
      <w:r w:rsidR="00EB2D25">
        <w:rPr>
          <w:rFonts w:cs="Tahoma"/>
          <w:bCs/>
        </w:rPr>
        <w:t xml:space="preserve"> and </w:t>
      </w:r>
      <w:r w:rsidR="009B2BEF">
        <w:rPr>
          <w:rFonts w:cs="Tahoma"/>
          <w:bCs/>
        </w:rPr>
        <w:t>draft guidance previously by the Office of Fair Trading</w:t>
      </w:r>
      <w:r w:rsidR="0070692F">
        <w:rPr>
          <w:rStyle w:val="FootnoteReference"/>
          <w:rFonts w:cs="Tahoma"/>
          <w:bCs/>
        </w:rPr>
        <w:footnoteReference w:id="2"/>
      </w:r>
      <w:r w:rsidR="00A8116C">
        <w:rPr>
          <w:rFonts w:cs="Tahoma"/>
          <w:bCs/>
        </w:rPr>
        <w:t>.</w:t>
      </w:r>
    </w:p>
    <w:p w14:paraId="5DF02734" w14:textId="77777777" w:rsidR="00A8116C" w:rsidRDefault="00A8116C" w:rsidP="00A8116C">
      <w:pPr>
        <w:spacing w:line="276" w:lineRule="auto"/>
        <w:rPr>
          <w:rFonts w:cs="Tahoma"/>
          <w:bCs/>
        </w:rPr>
      </w:pPr>
    </w:p>
    <w:p w14:paraId="10D9EDB4" w14:textId="6992059F" w:rsidR="00D46B4D" w:rsidRDefault="0070692F" w:rsidP="00703070">
      <w:pPr>
        <w:spacing w:after="160" w:line="259" w:lineRule="auto"/>
        <w:rPr>
          <w:rFonts w:cs="Tahoma"/>
          <w:bCs/>
        </w:rPr>
      </w:pPr>
      <w:r w:rsidRPr="009401E0">
        <w:rPr>
          <w:rFonts w:cs="Tahoma"/>
          <w:b/>
          <w:bCs/>
        </w:rPr>
        <w:t xml:space="preserve">The term </w:t>
      </w:r>
      <w:r w:rsidR="00703070" w:rsidRPr="009401E0">
        <w:rPr>
          <w:rFonts w:cs="Tahoma"/>
          <w:b/>
          <w:bCs/>
        </w:rPr>
        <w:t>“</w:t>
      </w:r>
      <w:r w:rsidR="009401E0">
        <w:rPr>
          <w:rFonts w:cs="Tahoma"/>
          <w:b/>
          <w:bCs/>
        </w:rPr>
        <w:t>n</w:t>
      </w:r>
      <w:r w:rsidR="00D46B4D" w:rsidRPr="009401E0">
        <w:rPr>
          <w:rFonts w:cs="Tahoma"/>
          <w:b/>
          <w:bCs/>
        </w:rPr>
        <w:t>otional business</w:t>
      </w:r>
      <w:r w:rsidR="00703070">
        <w:rPr>
          <w:rFonts w:cs="Tahoma"/>
          <w:bCs/>
        </w:rPr>
        <w:t>”</w:t>
      </w:r>
    </w:p>
    <w:p w14:paraId="32799A6C" w14:textId="77777777" w:rsidR="00395DA4" w:rsidRDefault="0070692F" w:rsidP="00A8116C">
      <w:pPr>
        <w:spacing w:after="120" w:line="276" w:lineRule="auto"/>
        <w:jc w:val="both"/>
        <w:rPr>
          <w:rFonts w:cs="Tahoma"/>
          <w:bCs/>
        </w:rPr>
      </w:pPr>
      <w:r>
        <w:rPr>
          <w:rFonts w:cs="Tahoma"/>
          <w:bCs/>
        </w:rPr>
        <w:t>The term “</w:t>
      </w:r>
      <w:r w:rsidRPr="0070692F">
        <w:rPr>
          <w:rFonts w:cs="Tahoma"/>
          <w:bCs/>
          <w:i/>
        </w:rPr>
        <w:t>notional business</w:t>
      </w:r>
      <w:r>
        <w:rPr>
          <w:rFonts w:cs="Tahoma"/>
          <w:bCs/>
        </w:rPr>
        <w:t xml:space="preserve">” </w:t>
      </w:r>
      <w:r w:rsidR="00395DA4">
        <w:rPr>
          <w:rFonts w:cs="Tahoma"/>
          <w:bCs/>
        </w:rPr>
        <w:t>is used where the business activity under consideration may form part of the activities of a vertically integrated undertaking, and where the actual (or real) costs of the downstream operations are difficult to ascertain.</w:t>
      </w:r>
    </w:p>
    <w:p w14:paraId="33684798" w14:textId="14F98090" w:rsidR="0070692F" w:rsidRDefault="00395DA4" w:rsidP="00A8116C">
      <w:pPr>
        <w:spacing w:after="120" w:line="276" w:lineRule="auto"/>
        <w:jc w:val="both"/>
        <w:rPr>
          <w:rFonts w:cs="Tahoma"/>
          <w:bCs/>
        </w:rPr>
      </w:pPr>
      <w:r>
        <w:rPr>
          <w:rFonts w:cs="Tahoma"/>
          <w:bCs/>
        </w:rPr>
        <w:t>I</w:t>
      </w:r>
      <w:r w:rsidR="0070692F">
        <w:rPr>
          <w:rFonts w:cs="Tahoma"/>
          <w:bCs/>
        </w:rPr>
        <w:t xml:space="preserve">n draft competition law guidance provided by the </w:t>
      </w:r>
      <w:r w:rsidR="009B2BEF">
        <w:rPr>
          <w:rFonts w:cs="Tahoma"/>
          <w:bCs/>
        </w:rPr>
        <w:t>OFT</w:t>
      </w:r>
      <w:r w:rsidR="009B2BEF">
        <w:rPr>
          <w:rStyle w:val="FootnoteReference"/>
          <w:rFonts w:cs="Tahoma"/>
          <w:bCs/>
        </w:rPr>
        <w:footnoteReference w:id="3"/>
      </w:r>
      <w:r>
        <w:rPr>
          <w:rFonts w:cs="Tahoma"/>
          <w:bCs/>
        </w:rPr>
        <w:t>, p</w:t>
      </w:r>
      <w:r w:rsidR="009B2BEF">
        <w:rPr>
          <w:rFonts w:cs="Tahoma"/>
          <w:bCs/>
        </w:rPr>
        <w:t>aragraph 6.4 of the guidance states</w:t>
      </w:r>
      <w:r w:rsidR="00A8116C">
        <w:rPr>
          <w:rFonts w:cs="Tahoma"/>
          <w:bCs/>
        </w:rPr>
        <w:t>:</w:t>
      </w:r>
    </w:p>
    <w:p w14:paraId="0F3A9AC7" w14:textId="33A36428" w:rsidR="0070692F" w:rsidRDefault="009B2BEF" w:rsidP="00A8116C">
      <w:pPr>
        <w:spacing w:after="160" w:line="259" w:lineRule="auto"/>
        <w:ind w:left="720"/>
        <w:jc w:val="both"/>
        <w:rPr>
          <w:rFonts w:cs="Tahoma"/>
          <w:bCs/>
          <w:i/>
        </w:rPr>
      </w:pPr>
      <w:r>
        <w:rPr>
          <w:rFonts w:cs="Tahoma"/>
          <w:bCs/>
          <w:i/>
        </w:rPr>
        <w:t>“</w:t>
      </w:r>
      <w:r w:rsidRPr="009B2BEF">
        <w:rPr>
          <w:rFonts w:cs="Tahoma"/>
          <w:bCs/>
          <w:i/>
        </w:rPr>
        <w:t xml:space="preserve">A test for margin squeeze might require assessing the accounts of a 'notional business' as in practice the integrated undertaking's downstream business may not have separate accounts from its upstream business and would not usually treat its input prices as a cost in the same way that an independent downstream competitor would. Therefore, the details of how costs and revenues are allocated and/or calculated will depend on the circumstances of each case. For example, a margin squeeze investigation may raise issues such as the measurement and allocation of costs and revenues (both between products and between upstream and downstream operations), the appropriate rate of return, and the appropriate </w:t>
      </w:r>
      <w:proofErr w:type="gramStart"/>
      <w:r w:rsidRPr="009B2BEF">
        <w:rPr>
          <w:rFonts w:cs="Tahoma"/>
          <w:bCs/>
          <w:i/>
        </w:rPr>
        <w:t>time period</w:t>
      </w:r>
      <w:proofErr w:type="gramEnd"/>
      <w:r w:rsidRPr="009B2BEF">
        <w:rPr>
          <w:rFonts w:cs="Tahoma"/>
          <w:bCs/>
          <w:i/>
        </w:rPr>
        <w:t xml:space="preserve"> over which to measure profitability</w:t>
      </w:r>
      <w:r>
        <w:rPr>
          <w:rFonts w:cs="Tahoma"/>
          <w:bCs/>
          <w:i/>
        </w:rPr>
        <w:t>”</w:t>
      </w:r>
      <w:r w:rsidRPr="009B2BEF">
        <w:rPr>
          <w:rFonts w:cs="Tahoma"/>
          <w:bCs/>
          <w:i/>
        </w:rPr>
        <w:t>.</w:t>
      </w:r>
    </w:p>
    <w:p w14:paraId="1E462B8C" w14:textId="37334B49" w:rsidR="009B2BEF" w:rsidRDefault="009B2BEF" w:rsidP="00A8116C">
      <w:pPr>
        <w:spacing w:line="276" w:lineRule="auto"/>
        <w:jc w:val="both"/>
        <w:rPr>
          <w:rFonts w:cs="Tahoma"/>
          <w:bCs/>
          <w:i/>
        </w:rPr>
      </w:pPr>
      <w:r w:rsidRPr="009B2BEF">
        <w:rPr>
          <w:rFonts w:cs="Tahoma"/>
          <w:bCs/>
        </w:rPr>
        <w:t>A footnote in the guidance describes</w:t>
      </w:r>
      <w:r>
        <w:rPr>
          <w:rFonts w:cs="Tahoma"/>
          <w:bCs/>
        </w:rPr>
        <w:t xml:space="preserve"> a </w:t>
      </w:r>
      <w:r w:rsidR="00395DA4">
        <w:rPr>
          <w:rFonts w:cs="Tahoma"/>
          <w:bCs/>
        </w:rPr>
        <w:t>“</w:t>
      </w:r>
      <w:r>
        <w:rPr>
          <w:rFonts w:cs="Tahoma"/>
          <w:bCs/>
        </w:rPr>
        <w:t xml:space="preserve">notional </w:t>
      </w:r>
      <w:r w:rsidR="009401E0">
        <w:rPr>
          <w:rFonts w:cs="Tahoma"/>
          <w:bCs/>
        </w:rPr>
        <w:t>business</w:t>
      </w:r>
      <w:r w:rsidR="00395DA4">
        <w:rPr>
          <w:rFonts w:cs="Tahoma"/>
          <w:bCs/>
        </w:rPr>
        <w:t>”</w:t>
      </w:r>
      <w:r w:rsidR="009401E0">
        <w:rPr>
          <w:rFonts w:cs="Tahoma"/>
          <w:bCs/>
        </w:rPr>
        <w:t xml:space="preserve"> as </w:t>
      </w:r>
      <w:r w:rsidR="009401E0" w:rsidRPr="009401E0">
        <w:rPr>
          <w:rFonts w:cs="Tahoma"/>
          <w:bCs/>
          <w:i/>
        </w:rPr>
        <w:t>“…a business operation for which there are no separate accoun</w:t>
      </w:r>
      <w:r w:rsidR="009401E0">
        <w:rPr>
          <w:rFonts w:cs="Tahoma"/>
          <w:bCs/>
          <w:i/>
        </w:rPr>
        <w:t>ts”.</w:t>
      </w:r>
    </w:p>
    <w:p w14:paraId="48D6CD6E" w14:textId="77777777" w:rsidR="00CA7E4E" w:rsidRPr="009B2BEF" w:rsidRDefault="00CA7E4E" w:rsidP="00A8116C">
      <w:pPr>
        <w:rPr>
          <w:rFonts w:cs="Tahoma"/>
          <w:bCs/>
        </w:rPr>
      </w:pPr>
    </w:p>
    <w:p w14:paraId="6A206BFE" w14:textId="7AC2142E" w:rsidR="00D46B4D" w:rsidRPr="009401E0" w:rsidRDefault="00395DA4">
      <w:pPr>
        <w:spacing w:after="160" w:line="259" w:lineRule="auto"/>
        <w:rPr>
          <w:rFonts w:cs="Tahoma"/>
          <w:b/>
          <w:bCs/>
        </w:rPr>
      </w:pPr>
      <w:r>
        <w:rPr>
          <w:rFonts w:cs="Tahoma"/>
          <w:b/>
          <w:bCs/>
        </w:rPr>
        <w:t>The term “h</w:t>
      </w:r>
      <w:r w:rsidR="009401E0" w:rsidRPr="009401E0">
        <w:rPr>
          <w:rFonts w:cs="Tahoma"/>
          <w:b/>
          <w:bCs/>
        </w:rPr>
        <w:t>ypothetically Equally Efficient Operator</w:t>
      </w:r>
      <w:r>
        <w:rPr>
          <w:rFonts w:cs="Tahoma"/>
          <w:b/>
          <w:bCs/>
        </w:rPr>
        <w:t>”</w:t>
      </w:r>
    </w:p>
    <w:p w14:paraId="7D3CE7E3" w14:textId="7AE0253C" w:rsidR="00AA6B01" w:rsidRDefault="00395DA4" w:rsidP="00AA6B01">
      <w:pPr>
        <w:spacing w:after="160" w:line="259" w:lineRule="auto"/>
        <w:rPr>
          <w:bCs/>
        </w:rPr>
      </w:pPr>
      <w:r>
        <w:rPr>
          <w:bCs/>
        </w:rPr>
        <w:t>C</w:t>
      </w:r>
      <w:r w:rsidR="009401E0" w:rsidRPr="00AA6B01">
        <w:rPr>
          <w:bCs/>
        </w:rPr>
        <w:t xml:space="preserve">ompetition case law </w:t>
      </w:r>
      <w:r w:rsidRPr="00AA6B01">
        <w:rPr>
          <w:bCs/>
        </w:rPr>
        <w:t xml:space="preserve">is more likely to </w:t>
      </w:r>
      <w:r>
        <w:rPr>
          <w:bCs/>
        </w:rPr>
        <w:t xml:space="preserve">use </w:t>
      </w:r>
      <w:r w:rsidR="009401E0" w:rsidRPr="00AA6B01">
        <w:rPr>
          <w:bCs/>
        </w:rPr>
        <w:t>the term ‘</w:t>
      </w:r>
      <w:r w:rsidR="009401E0" w:rsidRPr="00AA6B01">
        <w:rPr>
          <w:bCs/>
          <w:i/>
        </w:rPr>
        <w:t>hypothetically equally efficient operator</w:t>
      </w:r>
      <w:r w:rsidR="009401E0" w:rsidRPr="00AA6B01">
        <w:rPr>
          <w:bCs/>
        </w:rPr>
        <w:t>’ rather than “</w:t>
      </w:r>
      <w:r w:rsidR="009401E0" w:rsidRPr="00AA6B01">
        <w:rPr>
          <w:bCs/>
          <w:i/>
        </w:rPr>
        <w:t xml:space="preserve">notional </w:t>
      </w:r>
      <w:proofErr w:type="gramStart"/>
      <w:r w:rsidR="009401E0" w:rsidRPr="00AA6B01">
        <w:rPr>
          <w:bCs/>
          <w:i/>
        </w:rPr>
        <w:t>business”</w:t>
      </w:r>
      <w:r w:rsidR="009401E0" w:rsidRPr="00AA6B01">
        <w:rPr>
          <w:bCs/>
        </w:rPr>
        <w:t xml:space="preserve"> </w:t>
      </w:r>
      <w:r>
        <w:rPr>
          <w:bCs/>
        </w:rPr>
        <w:t xml:space="preserve"> </w:t>
      </w:r>
      <w:r w:rsidR="009401E0" w:rsidRPr="00AA6B01">
        <w:rPr>
          <w:bCs/>
        </w:rPr>
        <w:t>to</w:t>
      </w:r>
      <w:proofErr w:type="gramEnd"/>
      <w:r w:rsidR="009401E0" w:rsidRPr="00AA6B01">
        <w:rPr>
          <w:bCs/>
        </w:rPr>
        <w:t xml:space="preserve"> assess the margin’s required by a downstream business</w:t>
      </w:r>
      <w:r w:rsidRPr="00395DA4">
        <w:rPr>
          <w:bCs/>
        </w:rPr>
        <w:t xml:space="preserve"> </w:t>
      </w:r>
      <w:r>
        <w:rPr>
          <w:bCs/>
        </w:rPr>
        <w:t>in</w:t>
      </w:r>
      <w:r w:rsidRPr="00AA6B01">
        <w:rPr>
          <w:bCs/>
        </w:rPr>
        <w:t xml:space="preserve"> margin squeeze</w:t>
      </w:r>
      <w:r>
        <w:rPr>
          <w:bCs/>
        </w:rPr>
        <w:t xml:space="preserve"> cases</w:t>
      </w:r>
      <w:r w:rsidR="009401E0" w:rsidRPr="00AA6B01">
        <w:rPr>
          <w:bCs/>
        </w:rPr>
        <w:t xml:space="preserve">.  An extract from the EU Commissions decision in the </w:t>
      </w:r>
      <w:proofErr w:type="spellStart"/>
      <w:r w:rsidR="009401E0" w:rsidRPr="00AA6B01">
        <w:rPr>
          <w:bCs/>
        </w:rPr>
        <w:t>Wanadoo</w:t>
      </w:r>
      <w:proofErr w:type="spellEnd"/>
      <w:r w:rsidR="00CA7E4E" w:rsidRPr="00AA6B01">
        <w:rPr>
          <w:bCs/>
        </w:rPr>
        <w:t xml:space="preserve"> </w:t>
      </w:r>
      <w:r w:rsidR="009401E0" w:rsidRPr="00AA6B01">
        <w:rPr>
          <w:bCs/>
        </w:rPr>
        <w:t>- Telefonica</w:t>
      </w:r>
      <w:r w:rsidR="009401E0">
        <w:rPr>
          <w:rStyle w:val="FootnoteReference"/>
          <w:rFonts w:cs="Tahoma"/>
          <w:bCs/>
        </w:rPr>
        <w:footnoteReference w:id="4"/>
      </w:r>
      <w:r w:rsidR="009401E0" w:rsidRPr="00AA6B01">
        <w:rPr>
          <w:bCs/>
        </w:rPr>
        <w:t xml:space="preserve"> case </w:t>
      </w:r>
      <w:r w:rsidR="00CA7E4E" w:rsidRPr="00AA6B01">
        <w:rPr>
          <w:bCs/>
        </w:rPr>
        <w:t>is</w:t>
      </w:r>
      <w:r w:rsidR="009401E0" w:rsidRPr="00AA6B01">
        <w:rPr>
          <w:bCs/>
        </w:rPr>
        <w:t xml:space="preserve"> provided in Appendix 1.  </w:t>
      </w:r>
    </w:p>
    <w:p w14:paraId="01497A95" w14:textId="7E299CB6" w:rsidR="00AA6B01" w:rsidRPr="00AA6B01" w:rsidRDefault="00AA6B01" w:rsidP="00395DA4">
      <w:pPr>
        <w:spacing w:after="160" w:line="259" w:lineRule="auto"/>
        <w:jc w:val="both"/>
        <w:rPr>
          <w:bCs/>
        </w:rPr>
      </w:pPr>
      <w:r>
        <w:rPr>
          <w:bCs/>
        </w:rPr>
        <w:lastRenderedPageBreak/>
        <w:t xml:space="preserve">Whichever term is used to describe the vertically integrated business’s </w:t>
      </w:r>
      <w:r w:rsidR="00395DA4">
        <w:rPr>
          <w:bCs/>
        </w:rPr>
        <w:t xml:space="preserve">(DNO’s) </w:t>
      </w:r>
      <w:r>
        <w:rPr>
          <w:bCs/>
        </w:rPr>
        <w:t xml:space="preserve">downstream operations </w:t>
      </w:r>
      <w:r w:rsidR="00395DA4">
        <w:rPr>
          <w:bCs/>
        </w:rPr>
        <w:t xml:space="preserve">that may be undertaken by a competitor (IDNO), </w:t>
      </w:r>
      <w:r>
        <w:rPr>
          <w:bCs/>
        </w:rPr>
        <w:t xml:space="preserve">the </w:t>
      </w:r>
      <w:r w:rsidR="00395DA4">
        <w:rPr>
          <w:bCs/>
        </w:rPr>
        <w:t xml:space="preserve">required </w:t>
      </w:r>
      <w:r>
        <w:rPr>
          <w:bCs/>
        </w:rPr>
        <w:t xml:space="preserve">test </w:t>
      </w:r>
      <w:r w:rsidRPr="00AA6B01">
        <w:rPr>
          <w:bCs/>
        </w:rPr>
        <w:t>is whether a competitor</w:t>
      </w:r>
      <w:r w:rsidR="00395DA4">
        <w:rPr>
          <w:bCs/>
        </w:rPr>
        <w:t xml:space="preserve"> (IDNO)</w:t>
      </w:r>
      <w:r>
        <w:rPr>
          <w:bCs/>
        </w:rPr>
        <w:t>, with the</w:t>
      </w:r>
      <w:r w:rsidRPr="00AA6B01">
        <w:rPr>
          <w:bCs/>
        </w:rPr>
        <w:t xml:space="preserve"> same cost function as the downstream arm of the vertically integrated company</w:t>
      </w:r>
      <w:r w:rsidR="00395DA4">
        <w:rPr>
          <w:bCs/>
        </w:rPr>
        <w:t xml:space="preserve"> (DNO)</w:t>
      </w:r>
      <w:r w:rsidR="009E4C57">
        <w:rPr>
          <w:bCs/>
        </w:rPr>
        <w:t>,</w:t>
      </w:r>
      <w:r w:rsidRPr="00AA6B01">
        <w:rPr>
          <w:bCs/>
        </w:rPr>
        <w:t xml:space="preserve"> is able to be profitable in the downstream market given the wholesale and retail prices levied by the vertically integrated company</w:t>
      </w:r>
      <w:r w:rsidR="00395DA4">
        <w:rPr>
          <w:bCs/>
        </w:rPr>
        <w:t xml:space="preserve"> (DNO)</w:t>
      </w:r>
      <w:r w:rsidR="009E4C57">
        <w:rPr>
          <w:bCs/>
        </w:rPr>
        <w:t xml:space="preserve"> on that competitor</w:t>
      </w:r>
      <w:r w:rsidR="00395DA4">
        <w:rPr>
          <w:bCs/>
        </w:rPr>
        <w:t xml:space="preserve"> (IDNO)</w:t>
      </w:r>
      <w:r w:rsidRPr="00AA6B01">
        <w:rPr>
          <w:bCs/>
        </w:rPr>
        <w:t>.</w:t>
      </w:r>
    </w:p>
    <w:p w14:paraId="0F988BBF" w14:textId="77777777" w:rsidR="009E4C57" w:rsidRDefault="009E4C57" w:rsidP="00E53F97">
      <w:pPr>
        <w:spacing w:line="276" w:lineRule="auto"/>
        <w:jc w:val="both"/>
        <w:rPr>
          <w:rFonts w:cs="Tahoma"/>
          <w:bCs/>
        </w:rPr>
      </w:pPr>
      <w:r>
        <w:rPr>
          <w:rFonts w:cs="Tahoma"/>
          <w:bCs/>
        </w:rPr>
        <w:t xml:space="preserve">To </w:t>
      </w:r>
      <w:r w:rsidR="00AA6B01">
        <w:rPr>
          <w:rFonts w:cs="Tahoma"/>
          <w:bCs/>
        </w:rPr>
        <w:t>undertak</w:t>
      </w:r>
      <w:r>
        <w:rPr>
          <w:rFonts w:cs="Tahoma"/>
          <w:bCs/>
        </w:rPr>
        <w:t>e</w:t>
      </w:r>
      <w:r w:rsidR="00AA6B01">
        <w:rPr>
          <w:rFonts w:cs="Tahoma"/>
          <w:bCs/>
        </w:rPr>
        <w:t xml:space="preserve"> such test the vertically integrated undertaking </w:t>
      </w:r>
      <w:proofErr w:type="gramStart"/>
      <w:r w:rsidR="00AA6B01">
        <w:rPr>
          <w:rFonts w:cs="Tahoma"/>
          <w:bCs/>
        </w:rPr>
        <w:t>has to</w:t>
      </w:r>
      <w:proofErr w:type="gramEnd"/>
      <w:r w:rsidR="00AA6B01">
        <w:rPr>
          <w:rFonts w:cs="Tahoma"/>
          <w:bCs/>
        </w:rPr>
        <w:t xml:space="preserve"> understand</w:t>
      </w:r>
      <w:r>
        <w:rPr>
          <w:rFonts w:cs="Tahoma"/>
          <w:bCs/>
        </w:rPr>
        <w:t>:</w:t>
      </w:r>
    </w:p>
    <w:p w14:paraId="32A68B68" w14:textId="6A896017" w:rsidR="009E4C57" w:rsidRDefault="00395DA4" w:rsidP="00E53F97">
      <w:pPr>
        <w:pStyle w:val="ListParagraph"/>
        <w:numPr>
          <w:ilvl w:val="0"/>
          <w:numId w:val="3"/>
        </w:numPr>
        <w:spacing w:line="276" w:lineRule="auto"/>
        <w:jc w:val="both"/>
        <w:rPr>
          <w:bCs/>
        </w:rPr>
      </w:pPr>
      <w:r>
        <w:rPr>
          <w:bCs/>
        </w:rPr>
        <w:t>W</w:t>
      </w:r>
      <w:r w:rsidR="00AA6B01" w:rsidRPr="009E4C57">
        <w:rPr>
          <w:bCs/>
        </w:rPr>
        <w:t xml:space="preserve">hat the cost function of its downstream business is.  </w:t>
      </w:r>
    </w:p>
    <w:p w14:paraId="54B94EA3" w14:textId="58BC519D" w:rsidR="009E4C57" w:rsidRDefault="009E4C57" w:rsidP="00E53F97">
      <w:pPr>
        <w:pStyle w:val="ListParagraph"/>
        <w:numPr>
          <w:ilvl w:val="0"/>
          <w:numId w:val="3"/>
        </w:numPr>
        <w:spacing w:after="120" w:line="276" w:lineRule="auto"/>
        <w:ind w:left="794" w:hanging="357"/>
        <w:jc w:val="both"/>
        <w:rPr>
          <w:bCs/>
        </w:rPr>
      </w:pPr>
      <w:r>
        <w:rPr>
          <w:bCs/>
        </w:rPr>
        <w:t>What the wholesale price i</w:t>
      </w:r>
      <w:r w:rsidR="00395DA4">
        <w:rPr>
          <w:bCs/>
        </w:rPr>
        <w:t xml:space="preserve">to </w:t>
      </w:r>
      <w:r>
        <w:rPr>
          <w:bCs/>
        </w:rPr>
        <w:t>ts downstream business is.</w:t>
      </w:r>
    </w:p>
    <w:p w14:paraId="42971B9D" w14:textId="02919ECE" w:rsidR="00AA6B01" w:rsidRDefault="00E53F97" w:rsidP="003D0F37">
      <w:pPr>
        <w:spacing w:line="276" w:lineRule="auto"/>
        <w:jc w:val="both"/>
        <w:rPr>
          <w:bCs/>
        </w:rPr>
      </w:pPr>
      <w:r>
        <w:rPr>
          <w:bCs/>
        </w:rPr>
        <w:t>The cost function must include the total cost of operat</w:t>
      </w:r>
      <w:r w:rsidR="003D0F37">
        <w:rPr>
          <w:bCs/>
        </w:rPr>
        <w:t xml:space="preserve">ing the downstream operation.  (it is more than the marginal pricing or using an ECPR approach).  </w:t>
      </w:r>
      <w:r w:rsidR="009E4C57">
        <w:rPr>
          <w:bCs/>
        </w:rPr>
        <w:t>Because DNOs</w:t>
      </w:r>
      <w:r w:rsidR="003D0F37">
        <w:rPr>
          <w:bCs/>
        </w:rPr>
        <w:t>,</w:t>
      </w:r>
      <w:r w:rsidR="009E4C57">
        <w:rPr>
          <w:bCs/>
        </w:rPr>
        <w:t xml:space="preserve"> as vertically integrated undertakings</w:t>
      </w:r>
      <w:r w:rsidR="003D0F37">
        <w:rPr>
          <w:bCs/>
        </w:rPr>
        <w:t>,</w:t>
      </w:r>
      <w:r w:rsidR="009E4C57">
        <w:rPr>
          <w:bCs/>
        </w:rPr>
        <w:t xml:space="preserve"> are unlikely to separate out the cost functions of their downstream business</w:t>
      </w:r>
      <w:r>
        <w:rPr>
          <w:bCs/>
        </w:rPr>
        <w:t>, or the wholesale charges they make to their downstream business</w:t>
      </w:r>
      <w:r w:rsidR="009E4C57">
        <w:rPr>
          <w:bCs/>
        </w:rPr>
        <w:t xml:space="preserve">, they will </w:t>
      </w:r>
      <w:r>
        <w:rPr>
          <w:bCs/>
        </w:rPr>
        <w:t xml:space="preserve">not know what the costs or charges are.  To assess such charges </w:t>
      </w:r>
      <w:r w:rsidR="009E4C57">
        <w:rPr>
          <w:bCs/>
        </w:rPr>
        <w:t xml:space="preserve">a hypothetical or notional business </w:t>
      </w:r>
      <w:proofErr w:type="gramStart"/>
      <w:r>
        <w:rPr>
          <w:bCs/>
        </w:rPr>
        <w:t>has to</w:t>
      </w:r>
      <w:proofErr w:type="gramEnd"/>
      <w:r>
        <w:rPr>
          <w:bCs/>
        </w:rPr>
        <w:t xml:space="preserve"> be created to which costs and charges can be allocated</w:t>
      </w:r>
      <w:r w:rsidR="009E4C57">
        <w:rPr>
          <w:bCs/>
        </w:rPr>
        <w:t>.  The PCDM</w:t>
      </w:r>
      <w:r>
        <w:rPr>
          <w:bCs/>
        </w:rPr>
        <w:t xml:space="preserve">, as described </w:t>
      </w:r>
      <w:r w:rsidR="009E4C57">
        <w:rPr>
          <w:bCs/>
        </w:rPr>
        <w:t>in step 4 of the CDCM</w:t>
      </w:r>
      <w:r>
        <w:rPr>
          <w:bCs/>
        </w:rPr>
        <w:t>,</w:t>
      </w:r>
      <w:r w:rsidR="009E4C57">
        <w:rPr>
          <w:bCs/>
        </w:rPr>
        <w:t xml:space="preserve"> is a proxy for determining </w:t>
      </w:r>
      <w:r>
        <w:rPr>
          <w:bCs/>
        </w:rPr>
        <w:t xml:space="preserve">the </w:t>
      </w:r>
      <w:r w:rsidR="009E4C57">
        <w:rPr>
          <w:bCs/>
        </w:rPr>
        <w:t>“</w:t>
      </w:r>
      <w:r w:rsidR="009E4C57" w:rsidRPr="00E53F97">
        <w:rPr>
          <w:bCs/>
          <w:i/>
        </w:rPr>
        <w:t>hypothetical</w:t>
      </w:r>
      <w:r w:rsidR="009E4C57">
        <w:rPr>
          <w:bCs/>
        </w:rPr>
        <w:t>”</w:t>
      </w:r>
      <w:r w:rsidRPr="00E53F97">
        <w:rPr>
          <w:bCs/>
        </w:rPr>
        <w:t xml:space="preserve"> </w:t>
      </w:r>
      <w:r>
        <w:rPr>
          <w:bCs/>
        </w:rPr>
        <w:t>or “</w:t>
      </w:r>
      <w:r w:rsidRPr="00E53F97">
        <w:rPr>
          <w:bCs/>
          <w:i/>
        </w:rPr>
        <w:t>notional</w:t>
      </w:r>
      <w:r>
        <w:rPr>
          <w:bCs/>
        </w:rPr>
        <w:t xml:space="preserve">” </w:t>
      </w:r>
      <w:r w:rsidR="009E4C57">
        <w:rPr>
          <w:bCs/>
        </w:rPr>
        <w:t xml:space="preserve">costs of their downstream business. </w:t>
      </w:r>
    </w:p>
    <w:p w14:paraId="2785F4A4" w14:textId="77777777" w:rsidR="003D0F37" w:rsidRDefault="003D0F37" w:rsidP="003D0F37">
      <w:pPr>
        <w:spacing w:line="276" w:lineRule="auto"/>
        <w:jc w:val="both"/>
        <w:rPr>
          <w:bCs/>
        </w:rPr>
      </w:pPr>
    </w:p>
    <w:p w14:paraId="09E7284C" w14:textId="77777777" w:rsidR="00D63EE7" w:rsidRPr="00E53F97" w:rsidRDefault="00D63EE7" w:rsidP="00E53F97">
      <w:pPr>
        <w:spacing w:after="160" w:line="259" w:lineRule="auto"/>
        <w:rPr>
          <w:b/>
          <w:bCs/>
        </w:rPr>
      </w:pPr>
      <w:r w:rsidRPr="00E53F97">
        <w:rPr>
          <w:b/>
          <w:bCs/>
        </w:rPr>
        <w:t>Conclusion</w:t>
      </w:r>
    </w:p>
    <w:p w14:paraId="24F0B171" w14:textId="0401A695" w:rsidR="00F340E8" w:rsidRDefault="00F340E8" w:rsidP="00E53F97">
      <w:pPr>
        <w:spacing w:after="160" w:line="259" w:lineRule="auto"/>
        <w:rPr>
          <w:bCs/>
        </w:rPr>
      </w:pPr>
      <w:r>
        <w:rPr>
          <w:bCs/>
        </w:rPr>
        <w:t>The question tha</w:t>
      </w:r>
      <w:r w:rsidR="00D63EE7">
        <w:rPr>
          <w:bCs/>
        </w:rPr>
        <w:t>t has been asked is</w:t>
      </w:r>
    </w:p>
    <w:p w14:paraId="411B2E52" w14:textId="77777777" w:rsidR="00D63EE7" w:rsidRPr="00E53F97" w:rsidRDefault="00D63EE7" w:rsidP="00D63EE7">
      <w:pPr>
        <w:spacing w:after="160" w:line="259" w:lineRule="auto"/>
        <w:ind w:left="720"/>
        <w:rPr>
          <w:b/>
          <w:bCs/>
        </w:rPr>
      </w:pPr>
      <w:r w:rsidRPr="00E53F97">
        <w:rPr>
          <w:b/>
          <w:bCs/>
        </w:rPr>
        <w:t xml:space="preserve">“What is the difference between </w:t>
      </w:r>
      <w:r w:rsidRPr="003D0F37">
        <w:rPr>
          <w:b/>
          <w:bCs/>
          <w:i/>
        </w:rPr>
        <w:t>actual</w:t>
      </w:r>
      <w:r w:rsidRPr="00E53F97">
        <w:rPr>
          <w:b/>
          <w:bCs/>
        </w:rPr>
        <w:t xml:space="preserve"> costs and </w:t>
      </w:r>
      <w:r w:rsidRPr="00E53F97">
        <w:rPr>
          <w:b/>
          <w:bCs/>
          <w:i/>
        </w:rPr>
        <w:t>notional</w:t>
      </w:r>
      <w:r w:rsidRPr="00E53F97">
        <w:rPr>
          <w:b/>
          <w:bCs/>
        </w:rPr>
        <w:t xml:space="preserve"> (or </w:t>
      </w:r>
      <w:r w:rsidRPr="00E53F97">
        <w:rPr>
          <w:b/>
          <w:bCs/>
          <w:i/>
        </w:rPr>
        <w:t>hypothetical</w:t>
      </w:r>
      <w:r w:rsidRPr="00E53F97">
        <w:rPr>
          <w:b/>
          <w:bCs/>
        </w:rPr>
        <w:t>) costs”.</w:t>
      </w:r>
    </w:p>
    <w:p w14:paraId="75F74600" w14:textId="7F5585D7" w:rsidR="003D0F37" w:rsidRDefault="00D63EE7" w:rsidP="003D0F37">
      <w:pPr>
        <w:spacing w:after="120" w:line="276" w:lineRule="auto"/>
        <w:rPr>
          <w:bCs/>
        </w:rPr>
      </w:pPr>
      <w:r>
        <w:rPr>
          <w:bCs/>
        </w:rPr>
        <w:t xml:space="preserve">The </w:t>
      </w:r>
      <w:r w:rsidR="00E53F97">
        <w:rPr>
          <w:bCs/>
        </w:rPr>
        <w:t xml:space="preserve">vertically integrated undertaking (DNO) is </w:t>
      </w:r>
      <w:r w:rsidR="003D0F37">
        <w:rPr>
          <w:bCs/>
        </w:rPr>
        <w:t xml:space="preserve">neither </w:t>
      </w:r>
      <w:r w:rsidR="00E53F97" w:rsidRPr="00E53F97">
        <w:rPr>
          <w:bCs/>
        </w:rPr>
        <w:t>know</w:t>
      </w:r>
      <w:r w:rsidR="003D0F37">
        <w:rPr>
          <w:bCs/>
        </w:rPr>
        <w:t xml:space="preserve"> </w:t>
      </w:r>
      <w:r w:rsidR="00E53F97" w:rsidRPr="00E53F97">
        <w:rPr>
          <w:bCs/>
        </w:rPr>
        <w:t xml:space="preserve">the </w:t>
      </w:r>
      <w:r w:rsidRPr="00E53F97">
        <w:rPr>
          <w:bCs/>
          <w:i/>
        </w:rPr>
        <w:t>actual</w:t>
      </w:r>
      <w:r w:rsidRPr="00E53F97">
        <w:rPr>
          <w:bCs/>
        </w:rPr>
        <w:t xml:space="preserve"> </w:t>
      </w:r>
      <w:r w:rsidRPr="00E53F97">
        <w:rPr>
          <w:b/>
          <w:bCs/>
        </w:rPr>
        <w:t>total</w:t>
      </w:r>
      <w:r w:rsidRPr="00E53F97">
        <w:rPr>
          <w:bCs/>
        </w:rPr>
        <w:t xml:space="preserve"> costs of the downstream </w:t>
      </w:r>
      <w:r w:rsidR="00E53F97" w:rsidRPr="00E53F97">
        <w:rPr>
          <w:bCs/>
        </w:rPr>
        <w:t>oper</w:t>
      </w:r>
      <w:r w:rsidR="00E53F97">
        <w:rPr>
          <w:bCs/>
        </w:rPr>
        <w:t>a</w:t>
      </w:r>
      <w:r w:rsidR="00E53F97" w:rsidRPr="00E53F97">
        <w:rPr>
          <w:bCs/>
        </w:rPr>
        <w:t>tion</w:t>
      </w:r>
      <w:r w:rsidR="003D0F37">
        <w:rPr>
          <w:bCs/>
        </w:rPr>
        <w:t xml:space="preserve"> (in isolation from the upstream operation)</w:t>
      </w:r>
      <w:r w:rsidR="00E53F97">
        <w:rPr>
          <w:bCs/>
        </w:rPr>
        <w:t xml:space="preserve">; </w:t>
      </w:r>
      <w:r w:rsidR="003D0F37">
        <w:rPr>
          <w:bCs/>
        </w:rPr>
        <w:t>n</w:t>
      </w:r>
      <w:r w:rsidR="00E53F97">
        <w:rPr>
          <w:bCs/>
        </w:rPr>
        <w:t>or</w:t>
      </w:r>
      <w:r w:rsidR="003D0F37">
        <w:rPr>
          <w:bCs/>
        </w:rPr>
        <w:t xml:space="preserve"> </w:t>
      </w:r>
      <w:r w:rsidR="00E53F97">
        <w:rPr>
          <w:bCs/>
        </w:rPr>
        <w:t>the wholesale charges to its downstream operation</w:t>
      </w:r>
      <w:r w:rsidR="003D0F37">
        <w:rPr>
          <w:bCs/>
        </w:rPr>
        <w:t xml:space="preserve">.  </w:t>
      </w:r>
      <w:r w:rsidR="00E53F97">
        <w:rPr>
          <w:bCs/>
        </w:rPr>
        <w:t xml:space="preserve">If </w:t>
      </w:r>
      <w:r w:rsidR="003D0F37">
        <w:rPr>
          <w:bCs/>
        </w:rPr>
        <w:t xml:space="preserve">it did </w:t>
      </w:r>
      <w:proofErr w:type="gramStart"/>
      <w:r w:rsidR="003D0F37">
        <w:rPr>
          <w:bCs/>
        </w:rPr>
        <w:t>so</w:t>
      </w:r>
      <w:proofErr w:type="gramEnd"/>
      <w:r w:rsidR="00E53F97">
        <w:rPr>
          <w:bCs/>
        </w:rPr>
        <w:t xml:space="preserve"> then it would </w:t>
      </w:r>
      <w:r w:rsidR="003D0F37">
        <w:rPr>
          <w:bCs/>
        </w:rPr>
        <w:t xml:space="preserve">clearly use these costs and not have to rely </w:t>
      </w:r>
      <w:r w:rsidR="00E53F97">
        <w:rPr>
          <w:bCs/>
        </w:rPr>
        <w:t xml:space="preserve">on notional or hypothetical </w:t>
      </w:r>
      <w:r>
        <w:rPr>
          <w:bCs/>
        </w:rPr>
        <w:t>costs</w:t>
      </w:r>
      <w:r w:rsidR="00E53F97">
        <w:rPr>
          <w:bCs/>
        </w:rPr>
        <w:t>.</w:t>
      </w:r>
      <w:r>
        <w:rPr>
          <w:bCs/>
        </w:rPr>
        <w:t xml:space="preserve"> </w:t>
      </w:r>
      <w:r w:rsidR="003D0F37">
        <w:rPr>
          <w:bCs/>
        </w:rPr>
        <w:t xml:space="preserve"> </w:t>
      </w:r>
    </w:p>
    <w:p w14:paraId="6C4E0FF6" w14:textId="77777777" w:rsidR="004B712C" w:rsidRDefault="003D0F37" w:rsidP="003D0F37">
      <w:pPr>
        <w:spacing w:after="120" w:line="276" w:lineRule="auto"/>
        <w:rPr>
          <w:bCs/>
        </w:rPr>
      </w:pPr>
      <w:r>
        <w:rPr>
          <w:bCs/>
        </w:rPr>
        <w:t xml:space="preserve">However, it is because actual </w:t>
      </w:r>
      <w:r w:rsidR="004B712C">
        <w:rPr>
          <w:bCs/>
        </w:rPr>
        <w:t xml:space="preserve">total </w:t>
      </w:r>
      <w:r>
        <w:rPr>
          <w:bCs/>
        </w:rPr>
        <w:t xml:space="preserve">costs </w:t>
      </w:r>
      <w:r w:rsidR="004B712C">
        <w:rPr>
          <w:bCs/>
        </w:rPr>
        <w:t xml:space="preserve">of the downstream operation </w:t>
      </w:r>
      <w:r>
        <w:rPr>
          <w:bCs/>
        </w:rPr>
        <w:t>are not fully known that</w:t>
      </w:r>
      <w:r w:rsidR="004B712C">
        <w:rPr>
          <w:bCs/>
        </w:rPr>
        <w:t xml:space="preserve"> concept of the costs of</w:t>
      </w:r>
      <w:r>
        <w:rPr>
          <w:bCs/>
        </w:rPr>
        <w:t xml:space="preserve"> a notional or hypothetical business </w:t>
      </w:r>
      <w:r w:rsidR="004B712C">
        <w:rPr>
          <w:bCs/>
        </w:rPr>
        <w:t>is required</w:t>
      </w:r>
      <w:r>
        <w:rPr>
          <w:bCs/>
        </w:rPr>
        <w:t xml:space="preserve">.  If the </w:t>
      </w:r>
      <w:r w:rsidR="004B712C">
        <w:rPr>
          <w:bCs/>
        </w:rPr>
        <w:t xml:space="preserve">costs of the </w:t>
      </w:r>
      <w:r>
        <w:rPr>
          <w:bCs/>
        </w:rPr>
        <w:t>actual</w:t>
      </w:r>
      <w:r w:rsidR="004B712C">
        <w:rPr>
          <w:bCs/>
        </w:rPr>
        <w:t xml:space="preserve"> downstream business (which is unlikely to exist as such)</w:t>
      </w:r>
      <w:r>
        <w:rPr>
          <w:bCs/>
        </w:rPr>
        <w:t xml:space="preserve"> </w:t>
      </w:r>
      <w:r w:rsidR="004B712C">
        <w:rPr>
          <w:bCs/>
        </w:rPr>
        <w:t xml:space="preserve">and the </w:t>
      </w:r>
      <w:r>
        <w:rPr>
          <w:bCs/>
        </w:rPr>
        <w:t xml:space="preserve">hypothetical </w:t>
      </w:r>
      <w:r w:rsidR="004B712C">
        <w:rPr>
          <w:bCs/>
        </w:rPr>
        <w:t xml:space="preserve">downstream business </w:t>
      </w:r>
      <w:r>
        <w:rPr>
          <w:bCs/>
        </w:rPr>
        <w:t xml:space="preserve">were known </w:t>
      </w:r>
      <w:r w:rsidR="004B712C">
        <w:rPr>
          <w:bCs/>
        </w:rPr>
        <w:t xml:space="preserve">with </w:t>
      </w:r>
      <w:r>
        <w:rPr>
          <w:bCs/>
        </w:rPr>
        <w:t>perfect</w:t>
      </w:r>
      <w:r w:rsidR="004B712C">
        <w:rPr>
          <w:bCs/>
        </w:rPr>
        <w:t xml:space="preserve"> accuracy</w:t>
      </w:r>
      <w:r>
        <w:rPr>
          <w:bCs/>
        </w:rPr>
        <w:t xml:space="preserve"> there should be no difference between the two</w:t>
      </w:r>
      <w:r w:rsidR="004B712C">
        <w:rPr>
          <w:bCs/>
        </w:rPr>
        <w:t>.</w:t>
      </w:r>
    </w:p>
    <w:p w14:paraId="305B4070" w14:textId="59DEED76" w:rsidR="00D63EE7" w:rsidRDefault="004B712C" w:rsidP="003D0F37">
      <w:pPr>
        <w:spacing w:after="120" w:line="276" w:lineRule="auto"/>
        <w:rPr>
          <w:bCs/>
        </w:rPr>
      </w:pPr>
      <w:r>
        <w:rPr>
          <w:bCs/>
        </w:rPr>
        <w:t xml:space="preserve"> </w:t>
      </w:r>
      <w:r w:rsidR="003D0F37">
        <w:rPr>
          <w:bCs/>
        </w:rPr>
        <w:t xml:space="preserve"> </w:t>
      </w:r>
    </w:p>
    <w:p w14:paraId="43047335" w14:textId="32F02A64" w:rsidR="00824859" w:rsidRPr="00824859" w:rsidRDefault="00824859">
      <w:pPr>
        <w:spacing w:after="160" w:line="259" w:lineRule="auto"/>
        <w:rPr>
          <w:rFonts w:cs="Tahoma"/>
          <w:bCs/>
        </w:rPr>
      </w:pPr>
      <w:r w:rsidRPr="00824859">
        <w:rPr>
          <w:rFonts w:cs="Tahoma"/>
          <w:bCs/>
        </w:rPr>
        <w:br w:type="page"/>
      </w:r>
    </w:p>
    <w:p w14:paraId="299AD5E1" w14:textId="74B44693" w:rsidR="00E531B8" w:rsidRPr="00E531B8" w:rsidRDefault="00E531B8" w:rsidP="0010558D">
      <w:pPr>
        <w:autoSpaceDE w:val="0"/>
        <w:autoSpaceDN w:val="0"/>
        <w:adjustRightInd w:val="0"/>
        <w:rPr>
          <w:rFonts w:cs="Tahoma"/>
          <w:b/>
          <w:bCs/>
          <w:sz w:val="24"/>
          <w:szCs w:val="24"/>
        </w:rPr>
      </w:pPr>
      <w:r w:rsidRPr="00E531B8">
        <w:rPr>
          <w:rFonts w:cs="Tahoma"/>
          <w:b/>
          <w:bCs/>
          <w:sz w:val="24"/>
          <w:szCs w:val="24"/>
        </w:rPr>
        <w:lastRenderedPageBreak/>
        <w:t>Annex 1</w:t>
      </w:r>
    </w:p>
    <w:p w14:paraId="4982A825" w14:textId="1309168D" w:rsidR="00E531B8" w:rsidRDefault="00E531B8" w:rsidP="0010558D">
      <w:pPr>
        <w:autoSpaceDE w:val="0"/>
        <w:autoSpaceDN w:val="0"/>
        <w:adjustRightInd w:val="0"/>
        <w:rPr>
          <w:rFonts w:ascii="Times New Roman" w:hAnsi="Times New Roman"/>
          <w:b/>
          <w:bCs/>
          <w:sz w:val="24"/>
          <w:szCs w:val="24"/>
        </w:rPr>
      </w:pPr>
    </w:p>
    <w:p w14:paraId="5EB2D804" w14:textId="6C8A94A2" w:rsidR="00824859" w:rsidRDefault="00824859" w:rsidP="00824859">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Extract from </w:t>
      </w:r>
      <w:bookmarkStart w:id="0" w:name="_Hlk510512179"/>
      <w:r>
        <w:rPr>
          <w:rFonts w:ascii="Times New Roman" w:hAnsi="Times New Roman"/>
          <w:b/>
          <w:bCs/>
          <w:sz w:val="24"/>
          <w:szCs w:val="24"/>
        </w:rPr>
        <w:t xml:space="preserve">Commission Decision of 04.07.2007 relating to </w:t>
      </w:r>
      <w:proofErr w:type="gramStart"/>
      <w:r>
        <w:rPr>
          <w:rFonts w:ascii="Times New Roman" w:hAnsi="Times New Roman"/>
          <w:b/>
          <w:bCs/>
          <w:sz w:val="24"/>
          <w:szCs w:val="24"/>
        </w:rPr>
        <w:t>a proceedings</w:t>
      </w:r>
      <w:proofErr w:type="gramEnd"/>
      <w:r>
        <w:rPr>
          <w:rFonts w:ascii="Times New Roman" w:hAnsi="Times New Roman"/>
          <w:b/>
          <w:bCs/>
          <w:sz w:val="24"/>
          <w:szCs w:val="24"/>
        </w:rPr>
        <w:t xml:space="preserve"> under Article 82 of the EC Treaty (Case COMP/38.784 – </w:t>
      </w:r>
      <w:proofErr w:type="spellStart"/>
      <w:r>
        <w:rPr>
          <w:rFonts w:ascii="Times New Roman" w:hAnsi="Times New Roman"/>
          <w:b/>
          <w:bCs/>
          <w:sz w:val="24"/>
          <w:szCs w:val="24"/>
        </w:rPr>
        <w:t>Wanadoo</w:t>
      </w:r>
      <w:proofErr w:type="spellEnd"/>
      <w:r>
        <w:rPr>
          <w:rFonts w:ascii="Times New Roman" w:hAnsi="Times New Roman"/>
          <w:b/>
          <w:bCs/>
          <w:sz w:val="24"/>
          <w:szCs w:val="24"/>
        </w:rPr>
        <w:t xml:space="preserve"> </w:t>
      </w:r>
      <w:proofErr w:type="spellStart"/>
      <w:r>
        <w:rPr>
          <w:rFonts w:ascii="Times New Roman" w:hAnsi="Times New Roman"/>
          <w:b/>
          <w:bCs/>
          <w:sz w:val="24"/>
          <w:szCs w:val="24"/>
        </w:rPr>
        <w:t>España</w:t>
      </w:r>
      <w:proofErr w:type="spellEnd"/>
      <w:r>
        <w:rPr>
          <w:rFonts w:ascii="Times New Roman" w:hAnsi="Times New Roman"/>
          <w:b/>
          <w:bCs/>
          <w:sz w:val="24"/>
          <w:szCs w:val="24"/>
        </w:rPr>
        <w:t xml:space="preserve"> vs. Telefónica)</w:t>
      </w:r>
      <w:bookmarkEnd w:id="0"/>
    </w:p>
    <w:p w14:paraId="7DDE80A7" w14:textId="77777777" w:rsidR="00824859" w:rsidRDefault="00824859" w:rsidP="0010558D">
      <w:pPr>
        <w:autoSpaceDE w:val="0"/>
        <w:autoSpaceDN w:val="0"/>
        <w:adjustRightInd w:val="0"/>
        <w:rPr>
          <w:rFonts w:ascii="Times New Roman" w:hAnsi="Times New Roman"/>
          <w:b/>
          <w:bCs/>
          <w:sz w:val="24"/>
          <w:szCs w:val="24"/>
        </w:rPr>
      </w:pPr>
    </w:p>
    <w:p w14:paraId="431EAA8B" w14:textId="58E29221" w:rsidR="0010558D" w:rsidRDefault="00824859" w:rsidP="00824859">
      <w:pPr>
        <w:autoSpaceDE w:val="0"/>
        <w:autoSpaceDN w:val="0"/>
        <w:adjustRightInd w:val="0"/>
        <w:ind w:left="284"/>
        <w:rPr>
          <w:rFonts w:ascii="Times New Roman" w:hAnsi="Times New Roman"/>
          <w:b/>
          <w:bCs/>
          <w:sz w:val="24"/>
          <w:szCs w:val="24"/>
        </w:rPr>
      </w:pPr>
      <w:r>
        <w:rPr>
          <w:rFonts w:ascii="Times New Roman" w:hAnsi="Times New Roman"/>
          <w:b/>
          <w:bCs/>
          <w:sz w:val="24"/>
          <w:szCs w:val="24"/>
        </w:rPr>
        <w:t>“</w:t>
      </w:r>
      <w:r w:rsidR="0010558D">
        <w:rPr>
          <w:rFonts w:ascii="Times New Roman" w:hAnsi="Times New Roman"/>
          <w:b/>
          <w:bCs/>
          <w:sz w:val="24"/>
          <w:szCs w:val="24"/>
        </w:rPr>
        <w:t xml:space="preserve">Assessing profitability </w:t>
      </w:r>
      <w:proofErr w:type="gramStart"/>
      <w:r w:rsidR="0010558D">
        <w:rPr>
          <w:rFonts w:ascii="Times New Roman" w:hAnsi="Times New Roman"/>
          <w:b/>
          <w:bCs/>
          <w:sz w:val="24"/>
          <w:szCs w:val="24"/>
        </w:rPr>
        <w:t>on the basis of</w:t>
      </w:r>
      <w:proofErr w:type="gramEnd"/>
      <w:r w:rsidR="0010558D">
        <w:rPr>
          <w:rFonts w:ascii="Times New Roman" w:hAnsi="Times New Roman"/>
          <w:b/>
          <w:bCs/>
          <w:sz w:val="24"/>
          <w:szCs w:val="24"/>
        </w:rPr>
        <w:t xml:space="preserve"> the dominant firm’s downstream costs –</w:t>
      </w:r>
    </w:p>
    <w:p w14:paraId="0A817C7A" w14:textId="77777777" w:rsidR="0010558D" w:rsidRDefault="0010558D" w:rsidP="00824859">
      <w:pPr>
        <w:autoSpaceDE w:val="0"/>
        <w:autoSpaceDN w:val="0"/>
        <w:adjustRightInd w:val="0"/>
        <w:ind w:left="284"/>
        <w:rPr>
          <w:rFonts w:ascii="Times New Roman" w:hAnsi="Times New Roman"/>
          <w:b/>
          <w:bCs/>
          <w:sz w:val="24"/>
          <w:szCs w:val="24"/>
        </w:rPr>
      </w:pPr>
      <w:r>
        <w:rPr>
          <w:rFonts w:ascii="Times New Roman" w:hAnsi="Times New Roman"/>
          <w:b/>
          <w:bCs/>
          <w:sz w:val="24"/>
          <w:szCs w:val="24"/>
        </w:rPr>
        <w:t>the “equally efficient competitor” test</w:t>
      </w:r>
    </w:p>
    <w:p w14:paraId="261B4081" w14:textId="5D26714D" w:rsidR="0010558D" w:rsidRDefault="0010558D" w:rsidP="00824859">
      <w:pPr>
        <w:autoSpaceDE w:val="0"/>
        <w:autoSpaceDN w:val="0"/>
        <w:adjustRightInd w:val="0"/>
        <w:spacing w:before="120"/>
        <w:ind w:left="993" w:hanging="709"/>
        <w:rPr>
          <w:rFonts w:ascii="Times New Roman" w:hAnsi="Times New Roman"/>
          <w:sz w:val="24"/>
          <w:szCs w:val="24"/>
        </w:rPr>
      </w:pPr>
      <w:r>
        <w:rPr>
          <w:rFonts w:ascii="Times New Roman" w:hAnsi="Times New Roman"/>
          <w:sz w:val="24"/>
          <w:szCs w:val="24"/>
        </w:rPr>
        <w:t>(311)</w:t>
      </w:r>
      <w:r w:rsidR="003D3567">
        <w:rPr>
          <w:rFonts w:ascii="Times New Roman" w:hAnsi="Times New Roman"/>
          <w:sz w:val="24"/>
          <w:szCs w:val="24"/>
        </w:rPr>
        <w:tab/>
      </w:r>
      <w:r>
        <w:rPr>
          <w:rFonts w:ascii="Times New Roman" w:hAnsi="Times New Roman"/>
          <w:sz w:val="24"/>
          <w:szCs w:val="24"/>
        </w:rPr>
        <w:t xml:space="preserve">A margin squeeze can be demonstrated by showing that the dominant company' s own downstream operations could not trade profitably </w:t>
      </w:r>
      <w:proofErr w:type="gramStart"/>
      <w:r>
        <w:rPr>
          <w:rFonts w:ascii="Times New Roman" w:hAnsi="Times New Roman"/>
          <w:sz w:val="24"/>
          <w:szCs w:val="24"/>
        </w:rPr>
        <w:t>on the basis of</w:t>
      </w:r>
      <w:proofErr w:type="gramEnd"/>
      <w:r>
        <w:rPr>
          <w:rFonts w:ascii="Times New Roman" w:hAnsi="Times New Roman"/>
          <w:sz w:val="24"/>
          <w:szCs w:val="24"/>
        </w:rPr>
        <w:t xml:space="preserve"> the upstream price charged to its competitors by the upstream operating arm of the dominant company (‘equally efficient competitor' test). A margin squeeze can also be demonstrated by showing that the margin between the price charged to competitors on the upstream market for access and the price which the downstream arm of the dominant operator charges in the downstream market is insufficient to allow a reasonably efficient service provider in the downstream market to obtain a normal profit (“hypothetical reasonably efficient competitor test”).</w:t>
      </w:r>
    </w:p>
    <w:p w14:paraId="151760CC" w14:textId="2D713DD2" w:rsidR="0010558D" w:rsidRDefault="0010558D" w:rsidP="00824859">
      <w:pPr>
        <w:autoSpaceDE w:val="0"/>
        <w:autoSpaceDN w:val="0"/>
        <w:adjustRightInd w:val="0"/>
        <w:spacing w:before="120"/>
        <w:ind w:left="993" w:hanging="709"/>
        <w:rPr>
          <w:rFonts w:ascii="Times New Roman" w:hAnsi="Times New Roman"/>
          <w:sz w:val="24"/>
          <w:szCs w:val="24"/>
        </w:rPr>
      </w:pPr>
      <w:r>
        <w:rPr>
          <w:rFonts w:ascii="Times New Roman" w:hAnsi="Times New Roman"/>
          <w:sz w:val="24"/>
          <w:szCs w:val="24"/>
        </w:rPr>
        <w:t>(312)</w:t>
      </w:r>
      <w:r w:rsidR="003D3567">
        <w:rPr>
          <w:rFonts w:ascii="Times New Roman" w:hAnsi="Times New Roman"/>
          <w:sz w:val="24"/>
          <w:szCs w:val="24"/>
        </w:rPr>
        <w:tab/>
      </w:r>
      <w:r>
        <w:rPr>
          <w:rFonts w:ascii="Times New Roman" w:hAnsi="Times New Roman"/>
          <w:sz w:val="24"/>
          <w:szCs w:val="24"/>
        </w:rPr>
        <w:t xml:space="preserve">The Commission considers the applicable margin squeeze test in this case is an ‘equally efficient competitor' test. That is, the detrimental effect of a margin squeeze can be described in terms of the foreclosure of competitors which are able to provide downstream services as efficiently as the dominant firm. </w:t>
      </w:r>
      <w:proofErr w:type="gramStart"/>
      <w:r>
        <w:rPr>
          <w:rFonts w:ascii="Times New Roman" w:hAnsi="Times New Roman"/>
          <w:sz w:val="24"/>
          <w:szCs w:val="24"/>
        </w:rPr>
        <w:t>Thus</w:t>
      </w:r>
      <w:proofErr w:type="gramEnd"/>
      <w:r>
        <w:rPr>
          <w:rFonts w:ascii="Times New Roman" w:hAnsi="Times New Roman"/>
          <w:sz w:val="24"/>
          <w:szCs w:val="24"/>
        </w:rPr>
        <w:t xml:space="preserve"> the relevant test is whether Telefónica would have been able to offer downstream services without incurring a loss if, during the period under investigation, it had had to pay the upstream access price charged to competitors as an internal transfer price for its own</w:t>
      </w:r>
      <w:r w:rsidR="00AF3168">
        <w:rPr>
          <w:rFonts w:ascii="Times New Roman" w:hAnsi="Times New Roman"/>
          <w:sz w:val="24"/>
          <w:szCs w:val="24"/>
        </w:rPr>
        <w:t xml:space="preserve"> </w:t>
      </w:r>
      <w:r>
        <w:rPr>
          <w:rFonts w:ascii="Times New Roman" w:hAnsi="Times New Roman"/>
          <w:sz w:val="24"/>
          <w:szCs w:val="24"/>
        </w:rPr>
        <w:t>retail operations.</w:t>
      </w:r>
    </w:p>
    <w:p w14:paraId="643AC767" w14:textId="34E60D38" w:rsidR="0010558D" w:rsidRDefault="0010558D" w:rsidP="00824859">
      <w:pPr>
        <w:autoSpaceDE w:val="0"/>
        <w:autoSpaceDN w:val="0"/>
        <w:adjustRightInd w:val="0"/>
        <w:spacing w:before="120"/>
        <w:ind w:left="993" w:hanging="709"/>
        <w:rPr>
          <w:rFonts w:ascii="Times New Roman" w:hAnsi="Times New Roman"/>
          <w:sz w:val="24"/>
          <w:szCs w:val="24"/>
        </w:rPr>
      </w:pPr>
      <w:r>
        <w:rPr>
          <w:rFonts w:ascii="Times New Roman" w:hAnsi="Times New Roman"/>
          <w:sz w:val="24"/>
          <w:szCs w:val="24"/>
        </w:rPr>
        <w:t>(313)</w:t>
      </w:r>
      <w:r w:rsidR="003D3567">
        <w:rPr>
          <w:rFonts w:ascii="Times New Roman" w:hAnsi="Times New Roman"/>
          <w:sz w:val="24"/>
          <w:szCs w:val="24"/>
        </w:rPr>
        <w:tab/>
      </w:r>
      <w:r>
        <w:rPr>
          <w:rFonts w:ascii="Times New Roman" w:hAnsi="Times New Roman"/>
          <w:sz w:val="24"/>
          <w:szCs w:val="24"/>
        </w:rPr>
        <w:t xml:space="preserve">This approach is the same as that used by the Commission in </w:t>
      </w:r>
      <w:r>
        <w:rPr>
          <w:rFonts w:ascii="Times New Roman" w:hAnsi="Times New Roman"/>
          <w:i/>
          <w:iCs/>
          <w:sz w:val="24"/>
          <w:szCs w:val="24"/>
        </w:rPr>
        <w:t xml:space="preserve">Deutsche Telekom </w:t>
      </w:r>
      <w:r>
        <w:rPr>
          <w:rFonts w:ascii="Times New Roman" w:hAnsi="Times New Roman"/>
          <w:sz w:val="24"/>
          <w:szCs w:val="24"/>
        </w:rPr>
        <w:t>where the Commission found that Deutsche Telekom abused its dominant position in the form of a margin squeeze because the difference between the retail prices charged by Deutsche Telekom and the wholesale prices it charged its competitors was negative, or insufficient to cover the product-specific costs to the dominant operator of providing its own retail services on the downstream market</w:t>
      </w:r>
      <w:r w:rsidRPr="00E531B8">
        <w:rPr>
          <w:rFonts w:ascii="Times New Roman" w:hAnsi="Times New Roman"/>
          <w:sz w:val="16"/>
          <w:szCs w:val="16"/>
          <w:vertAlign w:val="superscript"/>
        </w:rPr>
        <w:t>286</w:t>
      </w:r>
      <w:r>
        <w:rPr>
          <w:rFonts w:ascii="Times New Roman" w:hAnsi="Times New Roman"/>
          <w:sz w:val="24"/>
          <w:szCs w:val="24"/>
        </w:rPr>
        <w:t xml:space="preserve">. This approach is also consistent with that used in </w:t>
      </w:r>
      <w:r>
        <w:rPr>
          <w:rFonts w:ascii="Times New Roman" w:hAnsi="Times New Roman"/>
          <w:i/>
          <w:iCs/>
          <w:sz w:val="24"/>
          <w:szCs w:val="24"/>
        </w:rPr>
        <w:t xml:space="preserve">Napier Brown vs. British Sugar </w:t>
      </w:r>
      <w:r>
        <w:rPr>
          <w:rFonts w:ascii="Times New Roman" w:hAnsi="Times New Roman"/>
          <w:sz w:val="24"/>
          <w:szCs w:val="24"/>
        </w:rPr>
        <w:t>where the Commission referred to the dominant undertaking’s failure to reflect its own costs of transforming the raw material into the derived product in the margin between the upstream and downstream price</w:t>
      </w:r>
      <w:r w:rsidRPr="00E531B8">
        <w:rPr>
          <w:rFonts w:ascii="Times New Roman" w:hAnsi="Times New Roman"/>
          <w:sz w:val="16"/>
          <w:szCs w:val="16"/>
          <w:vertAlign w:val="superscript"/>
        </w:rPr>
        <w:t>287</w:t>
      </w:r>
      <w:r>
        <w:rPr>
          <w:rFonts w:ascii="Times New Roman" w:hAnsi="Times New Roman"/>
          <w:sz w:val="24"/>
          <w:szCs w:val="24"/>
        </w:rPr>
        <w:t>.</w:t>
      </w:r>
    </w:p>
    <w:p w14:paraId="15C606CF" w14:textId="60190D56" w:rsidR="0010558D" w:rsidRDefault="0010558D" w:rsidP="00824859">
      <w:pPr>
        <w:autoSpaceDE w:val="0"/>
        <w:autoSpaceDN w:val="0"/>
        <w:adjustRightInd w:val="0"/>
        <w:spacing w:before="120"/>
        <w:ind w:left="993" w:hanging="709"/>
        <w:rPr>
          <w:rFonts w:ascii="Times New Roman" w:hAnsi="Times New Roman"/>
          <w:sz w:val="24"/>
          <w:szCs w:val="24"/>
        </w:rPr>
      </w:pPr>
      <w:r>
        <w:rPr>
          <w:rFonts w:ascii="Times New Roman" w:hAnsi="Times New Roman"/>
          <w:sz w:val="24"/>
          <w:szCs w:val="24"/>
        </w:rPr>
        <w:t>(314)</w:t>
      </w:r>
      <w:r w:rsidR="003D3567">
        <w:rPr>
          <w:rFonts w:ascii="Times New Roman" w:hAnsi="Times New Roman"/>
          <w:sz w:val="24"/>
          <w:szCs w:val="24"/>
        </w:rPr>
        <w:tab/>
      </w:r>
      <w:r>
        <w:rPr>
          <w:rFonts w:ascii="Times New Roman" w:hAnsi="Times New Roman"/>
          <w:sz w:val="24"/>
          <w:szCs w:val="24"/>
        </w:rPr>
        <w:t>In the case at hand, the "hypothetical equally efficient competitor" test is more</w:t>
      </w:r>
      <w:r w:rsidR="00E531B8">
        <w:rPr>
          <w:rFonts w:ascii="Times New Roman" w:hAnsi="Times New Roman"/>
          <w:sz w:val="24"/>
          <w:szCs w:val="24"/>
        </w:rPr>
        <w:t xml:space="preserve"> </w:t>
      </w:r>
      <w:r>
        <w:rPr>
          <w:rFonts w:ascii="Times New Roman" w:hAnsi="Times New Roman"/>
          <w:sz w:val="24"/>
          <w:szCs w:val="24"/>
        </w:rPr>
        <w:t>favourable to Telefónica than the “hypothetical reasonably efficient competitor” test.</w:t>
      </w:r>
      <w:r w:rsidR="00E531B8">
        <w:rPr>
          <w:rFonts w:ascii="Times New Roman" w:hAnsi="Times New Roman"/>
          <w:sz w:val="24"/>
          <w:szCs w:val="24"/>
        </w:rPr>
        <w:t xml:space="preserve"> </w:t>
      </w:r>
      <w:r>
        <w:rPr>
          <w:rFonts w:ascii="Times New Roman" w:hAnsi="Times New Roman"/>
          <w:sz w:val="24"/>
          <w:szCs w:val="24"/>
        </w:rPr>
        <w:t>Given the economies of scale and scope of Telefónica, its unit costs can be expected to</w:t>
      </w:r>
      <w:r w:rsidR="00E531B8">
        <w:rPr>
          <w:rFonts w:ascii="Times New Roman" w:hAnsi="Times New Roman"/>
          <w:sz w:val="24"/>
          <w:szCs w:val="24"/>
        </w:rPr>
        <w:t xml:space="preserve"> </w:t>
      </w:r>
      <w:r>
        <w:rPr>
          <w:rFonts w:ascii="Times New Roman" w:hAnsi="Times New Roman"/>
          <w:sz w:val="24"/>
          <w:szCs w:val="24"/>
        </w:rPr>
        <w:t>be lower than those of its reasonably efficient competitors. A reasonably efficient</w:t>
      </w:r>
      <w:r w:rsidR="00E531B8">
        <w:rPr>
          <w:rFonts w:ascii="Times New Roman" w:hAnsi="Times New Roman"/>
          <w:sz w:val="24"/>
          <w:szCs w:val="24"/>
        </w:rPr>
        <w:t xml:space="preserve"> </w:t>
      </w:r>
      <w:r>
        <w:rPr>
          <w:rFonts w:ascii="Times New Roman" w:hAnsi="Times New Roman"/>
          <w:sz w:val="24"/>
          <w:szCs w:val="24"/>
        </w:rPr>
        <w:t>competitor which shares the same cost structure as Telefónica's own downstream</w:t>
      </w:r>
      <w:r w:rsidR="00E531B8">
        <w:rPr>
          <w:rFonts w:ascii="Times New Roman" w:hAnsi="Times New Roman"/>
          <w:sz w:val="24"/>
          <w:szCs w:val="24"/>
        </w:rPr>
        <w:t xml:space="preserve"> </w:t>
      </w:r>
      <w:proofErr w:type="gramStart"/>
      <w:r>
        <w:rPr>
          <w:rFonts w:ascii="Times New Roman" w:hAnsi="Times New Roman"/>
          <w:sz w:val="24"/>
          <w:szCs w:val="24"/>
        </w:rPr>
        <w:t>businesses</w:t>
      </w:r>
      <w:proofErr w:type="gramEnd"/>
      <w:r>
        <w:rPr>
          <w:rFonts w:ascii="Times New Roman" w:hAnsi="Times New Roman"/>
          <w:sz w:val="24"/>
          <w:szCs w:val="24"/>
        </w:rPr>
        <w:t xml:space="preserve"> but which does not enjoy the same economies of scale as those enjoyed by</w:t>
      </w:r>
      <w:r w:rsidR="00E531B8">
        <w:rPr>
          <w:rFonts w:ascii="Times New Roman" w:hAnsi="Times New Roman"/>
          <w:sz w:val="24"/>
          <w:szCs w:val="24"/>
        </w:rPr>
        <w:t xml:space="preserve"> </w:t>
      </w:r>
      <w:r>
        <w:rPr>
          <w:rFonts w:ascii="Times New Roman" w:hAnsi="Times New Roman"/>
          <w:sz w:val="24"/>
          <w:szCs w:val="24"/>
        </w:rPr>
        <w:t>Telefónica during the period under investigation</w:t>
      </w:r>
      <w:r w:rsidRPr="00E531B8">
        <w:rPr>
          <w:rFonts w:ascii="Times New Roman" w:hAnsi="Times New Roman"/>
          <w:sz w:val="16"/>
          <w:szCs w:val="16"/>
          <w:vertAlign w:val="superscript"/>
        </w:rPr>
        <w:t>288</w:t>
      </w:r>
      <w:r w:rsidRPr="00E531B8">
        <w:rPr>
          <w:rFonts w:ascii="Times New Roman" w:hAnsi="Times New Roman"/>
          <w:sz w:val="24"/>
          <w:szCs w:val="24"/>
        </w:rPr>
        <w:t xml:space="preserve"> </w:t>
      </w:r>
      <w:r>
        <w:rPr>
          <w:rFonts w:ascii="Times New Roman" w:hAnsi="Times New Roman"/>
          <w:sz w:val="24"/>
          <w:szCs w:val="24"/>
        </w:rPr>
        <w:t>inevitably has higher unit network</w:t>
      </w:r>
      <w:r w:rsidR="00E531B8">
        <w:rPr>
          <w:rFonts w:ascii="Times New Roman" w:hAnsi="Times New Roman"/>
          <w:sz w:val="24"/>
          <w:szCs w:val="24"/>
        </w:rPr>
        <w:t xml:space="preserve"> </w:t>
      </w:r>
      <w:r>
        <w:rPr>
          <w:rFonts w:ascii="Times New Roman" w:hAnsi="Times New Roman"/>
          <w:sz w:val="24"/>
          <w:szCs w:val="24"/>
        </w:rPr>
        <w:t>costs</w:t>
      </w:r>
      <w:r w:rsidRPr="00E531B8">
        <w:rPr>
          <w:rFonts w:ascii="Times New Roman" w:hAnsi="Times New Roman"/>
          <w:sz w:val="16"/>
          <w:szCs w:val="16"/>
          <w:vertAlign w:val="superscript"/>
        </w:rPr>
        <w:t>289</w:t>
      </w:r>
      <w:r>
        <w:rPr>
          <w:rFonts w:ascii="Times New Roman" w:hAnsi="Times New Roman"/>
          <w:sz w:val="24"/>
          <w:szCs w:val="24"/>
        </w:rPr>
        <w:t>. At the same time, through its presence and leadership position in all the</w:t>
      </w:r>
      <w:r w:rsidR="00E531B8">
        <w:rPr>
          <w:rFonts w:ascii="Times New Roman" w:hAnsi="Times New Roman"/>
          <w:sz w:val="24"/>
          <w:szCs w:val="24"/>
        </w:rPr>
        <w:t xml:space="preserve"> </w:t>
      </w:r>
      <w:r>
        <w:rPr>
          <w:rFonts w:ascii="Times New Roman" w:hAnsi="Times New Roman"/>
          <w:sz w:val="24"/>
          <w:szCs w:val="24"/>
        </w:rPr>
        <w:t>telecommunications markets in Spain (</w:t>
      </w:r>
      <w:proofErr w:type="gramStart"/>
      <w:r>
        <w:rPr>
          <w:rFonts w:ascii="Times New Roman" w:hAnsi="Times New Roman"/>
          <w:sz w:val="24"/>
          <w:szCs w:val="24"/>
        </w:rPr>
        <w:t>in particular the</w:t>
      </w:r>
      <w:proofErr w:type="gramEnd"/>
      <w:r>
        <w:rPr>
          <w:rFonts w:ascii="Times New Roman" w:hAnsi="Times New Roman"/>
          <w:sz w:val="24"/>
          <w:szCs w:val="24"/>
        </w:rPr>
        <w:t xml:space="preserve"> retail mass markets for fixed</w:t>
      </w:r>
      <w:r w:rsidR="00E531B8">
        <w:rPr>
          <w:rFonts w:ascii="Times New Roman" w:hAnsi="Times New Roman"/>
          <w:sz w:val="24"/>
          <w:szCs w:val="24"/>
        </w:rPr>
        <w:t xml:space="preserve"> </w:t>
      </w:r>
      <w:bookmarkStart w:id="1" w:name="_GoBack"/>
      <w:bookmarkEnd w:id="1"/>
      <w:r>
        <w:rPr>
          <w:rFonts w:ascii="Times New Roman" w:hAnsi="Times New Roman"/>
          <w:sz w:val="24"/>
          <w:szCs w:val="24"/>
        </w:rPr>
        <w:t>telephony, mobile telephony and broadband access), Telefónica has economies of</w:t>
      </w:r>
      <w:r w:rsidR="00E531B8">
        <w:rPr>
          <w:rFonts w:ascii="Times New Roman" w:hAnsi="Times New Roman"/>
          <w:sz w:val="24"/>
          <w:szCs w:val="24"/>
        </w:rPr>
        <w:t xml:space="preserve"> </w:t>
      </w:r>
      <w:r>
        <w:rPr>
          <w:rFonts w:ascii="Times New Roman" w:hAnsi="Times New Roman"/>
          <w:sz w:val="24"/>
          <w:szCs w:val="24"/>
        </w:rPr>
        <w:t>scope enabling it to spread some costs (administration, advertising, commercial</w:t>
      </w:r>
      <w:r w:rsidR="00E531B8">
        <w:rPr>
          <w:rFonts w:ascii="Times New Roman" w:hAnsi="Times New Roman"/>
          <w:sz w:val="24"/>
          <w:szCs w:val="24"/>
        </w:rPr>
        <w:t xml:space="preserve"> </w:t>
      </w:r>
      <w:r>
        <w:rPr>
          <w:rFonts w:ascii="Times New Roman" w:hAnsi="Times New Roman"/>
          <w:sz w:val="24"/>
          <w:szCs w:val="24"/>
        </w:rPr>
        <w:t>network) over a much broader set of operations than a reasonably efficient operator</w:t>
      </w:r>
      <w:r w:rsidR="00E531B8">
        <w:rPr>
          <w:rFonts w:ascii="Times New Roman" w:hAnsi="Times New Roman"/>
          <w:sz w:val="24"/>
          <w:szCs w:val="24"/>
        </w:rPr>
        <w:t xml:space="preserve"> </w:t>
      </w:r>
      <w:r>
        <w:rPr>
          <w:rFonts w:ascii="Times New Roman" w:hAnsi="Times New Roman"/>
          <w:sz w:val="24"/>
          <w:szCs w:val="24"/>
        </w:rPr>
        <w:t>with a narrower range of activities</w:t>
      </w:r>
      <w:r w:rsidRPr="00E531B8">
        <w:rPr>
          <w:rFonts w:ascii="Times New Roman" w:hAnsi="Times New Roman"/>
          <w:sz w:val="16"/>
          <w:szCs w:val="16"/>
          <w:vertAlign w:val="superscript"/>
        </w:rPr>
        <w:t>290</w:t>
      </w:r>
      <w:r>
        <w:rPr>
          <w:rFonts w:ascii="Times New Roman" w:hAnsi="Times New Roman"/>
          <w:sz w:val="24"/>
          <w:szCs w:val="24"/>
        </w:rPr>
        <w:t>. The importance of economies of scale and scope</w:t>
      </w:r>
      <w:r w:rsidR="00E531B8">
        <w:rPr>
          <w:rFonts w:ascii="Times New Roman" w:hAnsi="Times New Roman"/>
          <w:sz w:val="24"/>
          <w:szCs w:val="24"/>
        </w:rPr>
        <w:t xml:space="preserve"> </w:t>
      </w:r>
      <w:r>
        <w:rPr>
          <w:rFonts w:ascii="Times New Roman" w:hAnsi="Times New Roman"/>
          <w:sz w:val="24"/>
          <w:szCs w:val="24"/>
        </w:rPr>
        <w:t xml:space="preserve">in this industry </w:t>
      </w:r>
      <w:r>
        <w:rPr>
          <w:rFonts w:ascii="Times New Roman" w:hAnsi="Times New Roman"/>
          <w:sz w:val="24"/>
          <w:szCs w:val="24"/>
        </w:rPr>
        <w:lastRenderedPageBreak/>
        <w:t>entails that Telefónica can price above cost in the downstream market</w:t>
      </w:r>
      <w:r w:rsidR="00E531B8">
        <w:rPr>
          <w:rFonts w:ascii="Times New Roman" w:hAnsi="Times New Roman"/>
          <w:sz w:val="24"/>
          <w:szCs w:val="24"/>
        </w:rPr>
        <w:t xml:space="preserve"> </w:t>
      </w:r>
      <w:r>
        <w:rPr>
          <w:rFonts w:ascii="Times New Roman" w:hAnsi="Times New Roman"/>
          <w:sz w:val="24"/>
          <w:szCs w:val="24"/>
        </w:rPr>
        <w:t>and still foreclose entry and growth in this market.</w:t>
      </w:r>
    </w:p>
    <w:p w14:paraId="76F9581E" w14:textId="53BA3FDE" w:rsidR="0010558D" w:rsidRDefault="0010558D" w:rsidP="00824859">
      <w:pPr>
        <w:autoSpaceDE w:val="0"/>
        <w:autoSpaceDN w:val="0"/>
        <w:adjustRightInd w:val="0"/>
        <w:spacing w:before="120"/>
        <w:ind w:left="993" w:hanging="709"/>
        <w:rPr>
          <w:rFonts w:ascii="Times New Roman" w:hAnsi="Times New Roman"/>
          <w:sz w:val="24"/>
          <w:szCs w:val="24"/>
        </w:rPr>
      </w:pPr>
      <w:r>
        <w:rPr>
          <w:rFonts w:ascii="Times New Roman" w:hAnsi="Times New Roman"/>
          <w:sz w:val="24"/>
          <w:szCs w:val="24"/>
        </w:rPr>
        <w:t>(315)</w:t>
      </w:r>
      <w:r w:rsidR="00E531B8">
        <w:rPr>
          <w:rFonts w:ascii="Times New Roman" w:hAnsi="Times New Roman"/>
          <w:sz w:val="24"/>
          <w:szCs w:val="24"/>
        </w:rPr>
        <w:tab/>
      </w:r>
      <w:r>
        <w:rPr>
          <w:rFonts w:ascii="Times New Roman" w:hAnsi="Times New Roman"/>
          <w:sz w:val="24"/>
          <w:szCs w:val="24"/>
        </w:rPr>
        <w:t>Contrary to Telefónica’s allegations</w:t>
      </w:r>
      <w:r w:rsidRPr="00E531B8">
        <w:rPr>
          <w:rFonts w:ascii="Times New Roman" w:hAnsi="Times New Roman"/>
          <w:sz w:val="16"/>
          <w:szCs w:val="16"/>
          <w:vertAlign w:val="superscript"/>
        </w:rPr>
        <w:t>291</w:t>
      </w:r>
      <w:r>
        <w:rPr>
          <w:rFonts w:ascii="Times New Roman" w:hAnsi="Times New Roman"/>
          <w:sz w:val="24"/>
          <w:szCs w:val="24"/>
        </w:rPr>
        <w:t>, the application of the “equally efficient</w:t>
      </w:r>
      <w:r w:rsidR="00E531B8">
        <w:rPr>
          <w:rFonts w:ascii="Times New Roman" w:hAnsi="Times New Roman"/>
          <w:sz w:val="24"/>
          <w:szCs w:val="24"/>
        </w:rPr>
        <w:t xml:space="preserve"> </w:t>
      </w:r>
      <w:r>
        <w:rPr>
          <w:rFonts w:ascii="Times New Roman" w:hAnsi="Times New Roman"/>
          <w:sz w:val="24"/>
          <w:szCs w:val="24"/>
        </w:rPr>
        <w:t xml:space="preserve">competitor” test does not imply </w:t>
      </w:r>
      <w:proofErr w:type="gramStart"/>
      <w:r>
        <w:rPr>
          <w:rFonts w:ascii="Times New Roman" w:hAnsi="Times New Roman"/>
          <w:sz w:val="24"/>
          <w:szCs w:val="24"/>
        </w:rPr>
        <w:t>assuming that</w:t>
      </w:r>
      <w:proofErr w:type="gramEnd"/>
      <w:r>
        <w:rPr>
          <w:rFonts w:ascii="Times New Roman" w:hAnsi="Times New Roman"/>
          <w:sz w:val="24"/>
          <w:szCs w:val="24"/>
        </w:rPr>
        <w:t xml:space="preserve"> the equally efficient competitor would</w:t>
      </w:r>
      <w:r w:rsidR="00E531B8">
        <w:rPr>
          <w:rFonts w:ascii="Times New Roman" w:hAnsi="Times New Roman"/>
          <w:sz w:val="24"/>
          <w:szCs w:val="24"/>
        </w:rPr>
        <w:t xml:space="preserve"> </w:t>
      </w:r>
      <w:r>
        <w:rPr>
          <w:rFonts w:ascii="Times New Roman" w:hAnsi="Times New Roman"/>
          <w:sz w:val="24"/>
          <w:szCs w:val="24"/>
        </w:rPr>
        <w:t>be able to replicate the same upstream assets in place as Telefonica. No such</w:t>
      </w:r>
      <w:r w:rsidR="00E531B8">
        <w:rPr>
          <w:rFonts w:ascii="Times New Roman" w:hAnsi="Times New Roman"/>
          <w:sz w:val="24"/>
          <w:szCs w:val="24"/>
        </w:rPr>
        <w:t xml:space="preserve"> </w:t>
      </w:r>
      <w:r>
        <w:rPr>
          <w:rFonts w:ascii="Times New Roman" w:hAnsi="Times New Roman"/>
          <w:sz w:val="24"/>
          <w:szCs w:val="24"/>
        </w:rPr>
        <w:t>assumption has been made in the relevant case law and decisional practice (</w:t>
      </w:r>
      <w:proofErr w:type="spellStart"/>
      <w:r w:rsidRPr="00E531B8">
        <w:rPr>
          <w:rFonts w:ascii="Times New Roman" w:hAnsi="Times New Roman"/>
          <w:sz w:val="24"/>
          <w:szCs w:val="24"/>
        </w:rPr>
        <w:t>Industrie</w:t>
      </w:r>
      <w:proofErr w:type="spellEnd"/>
      <w:r w:rsidR="00E531B8" w:rsidRPr="00E531B8">
        <w:rPr>
          <w:rFonts w:ascii="Times New Roman" w:hAnsi="Times New Roman"/>
          <w:sz w:val="24"/>
          <w:szCs w:val="24"/>
        </w:rPr>
        <w:t xml:space="preserve"> </w:t>
      </w:r>
      <w:r w:rsidRPr="00E531B8">
        <w:rPr>
          <w:rFonts w:ascii="Times New Roman" w:hAnsi="Times New Roman"/>
          <w:sz w:val="24"/>
          <w:szCs w:val="24"/>
        </w:rPr>
        <w:t xml:space="preserve">des </w:t>
      </w:r>
      <w:proofErr w:type="spellStart"/>
      <w:r w:rsidRPr="00E531B8">
        <w:rPr>
          <w:rFonts w:ascii="Times New Roman" w:hAnsi="Times New Roman"/>
          <w:sz w:val="24"/>
          <w:szCs w:val="24"/>
        </w:rPr>
        <w:t>Poudres</w:t>
      </w:r>
      <w:proofErr w:type="spellEnd"/>
      <w:r w:rsidRPr="00E531B8">
        <w:rPr>
          <w:rFonts w:ascii="Times New Roman" w:hAnsi="Times New Roman"/>
          <w:sz w:val="24"/>
          <w:szCs w:val="24"/>
        </w:rPr>
        <w:t xml:space="preserve"> </w:t>
      </w:r>
      <w:proofErr w:type="spellStart"/>
      <w:r w:rsidRPr="00E531B8">
        <w:rPr>
          <w:rFonts w:ascii="Times New Roman" w:hAnsi="Times New Roman"/>
          <w:sz w:val="24"/>
          <w:szCs w:val="24"/>
        </w:rPr>
        <w:t>Sphériques</w:t>
      </w:r>
      <w:proofErr w:type="spellEnd"/>
      <w:r w:rsidRPr="00E531B8">
        <w:rPr>
          <w:rFonts w:ascii="Times New Roman" w:hAnsi="Times New Roman"/>
          <w:sz w:val="24"/>
          <w:szCs w:val="24"/>
        </w:rPr>
        <w:t xml:space="preserve">, Napier Brown </w:t>
      </w:r>
      <w:r>
        <w:rPr>
          <w:rFonts w:ascii="Times New Roman" w:hAnsi="Times New Roman"/>
          <w:sz w:val="24"/>
          <w:szCs w:val="24"/>
        </w:rPr>
        <w:t xml:space="preserve">and </w:t>
      </w:r>
      <w:r w:rsidRPr="00E531B8">
        <w:rPr>
          <w:rFonts w:ascii="Times New Roman" w:hAnsi="Times New Roman"/>
          <w:sz w:val="24"/>
          <w:szCs w:val="24"/>
        </w:rPr>
        <w:t>Deutsche Telekom</w:t>
      </w:r>
      <w:r>
        <w:rPr>
          <w:rFonts w:ascii="Times New Roman" w:hAnsi="Times New Roman"/>
          <w:sz w:val="24"/>
          <w:szCs w:val="24"/>
        </w:rPr>
        <w:t>). The test is whether a</w:t>
      </w:r>
      <w:r w:rsidR="00E531B8">
        <w:rPr>
          <w:rFonts w:ascii="Times New Roman" w:hAnsi="Times New Roman"/>
          <w:sz w:val="24"/>
          <w:szCs w:val="24"/>
        </w:rPr>
        <w:t xml:space="preserve"> </w:t>
      </w:r>
      <w:r>
        <w:rPr>
          <w:rFonts w:ascii="Times New Roman" w:hAnsi="Times New Roman"/>
          <w:sz w:val="24"/>
          <w:szCs w:val="24"/>
        </w:rPr>
        <w:t>competitor having the same cost function as the downstream arm of the vertically</w:t>
      </w:r>
      <w:r w:rsidR="00E531B8">
        <w:rPr>
          <w:rFonts w:ascii="Times New Roman" w:hAnsi="Times New Roman"/>
          <w:sz w:val="24"/>
          <w:szCs w:val="24"/>
        </w:rPr>
        <w:t xml:space="preserve"> </w:t>
      </w:r>
      <w:r>
        <w:rPr>
          <w:rFonts w:ascii="Times New Roman" w:hAnsi="Times New Roman"/>
          <w:sz w:val="24"/>
          <w:szCs w:val="24"/>
        </w:rPr>
        <w:t xml:space="preserve">integrated company </w:t>
      </w:r>
      <w:proofErr w:type="gramStart"/>
      <w:r>
        <w:rPr>
          <w:rFonts w:ascii="Times New Roman" w:hAnsi="Times New Roman"/>
          <w:sz w:val="24"/>
          <w:szCs w:val="24"/>
        </w:rPr>
        <w:t>is able to</w:t>
      </w:r>
      <w:proofErr w:type="gramEnd"/>
      <w:r>
        <w:rPr>
          <w:rFonts w:ascii="Times New Roman" w:hAnsi="Times New Roman"/>
          <w:sz w:val="24"/>
          <w:szCs w:val="24"/>
        </w:rPr>
        <w:t xml:space="preserve"> be profitable in the downstream market given the</w:t>
      </w:r>
      <w:r w:rsidR="00E531B8">
        <w:rPr>
          <w:rFonts w:ascii="Times New Roman" w:hAnsi="Times New Roman"/>
          <w:sz w:val="24"/>
          <w:szCs w:val="24"/>
        </w:rPr>
        <w:t xml:space="preserve"> </w:t>
      </w:r>
      <w:r>
        <w:rPr>
          <w:rFonts w:ascii="Times New Roman" w:hAnsi="Times New Roman"/>
          <w:sz w:val="24"/>
          <w:szCs w:val="24"/>
        </w:rPr>
        <w:t>wholesale and retail prices levied by the vertically integrated company.</w:t>
      </w:r>
    </w:p>
    <w:p w14:paraId="25779638" w14:textId="02FAD445" w:rsidR="0010558D" w:rsidRDefault="0010558D" w:rsidP="00824859">
      <w:pPr>
        <w:autoSpaceDE w:val="0"/>
        <w:autoSpaceDN w:val="0"/>
        <w:adjustRightInd w:val="0"/>
        <w:ind w:left="284"/>
        <w:rPr>
          <w:rFonts w:ascii="Times New Roman" w:hAnsi="Times New Roman"/>
          <w:sz w:val="24"/>
          <w:szCs w:val="24"/>
        </w:rPr>
      </w:pPr>
    </w:p>
    <w:p w14:paraId="45A2BBA4" w14:textId="07F3F5BA" w:rsidR="0010558D" w:rsidRDefault="0010558D" w:rsidP="00824859">
      <w:pPr>
        <w:autoSpaceDE w:val="0"/>
        <w:autoSpaceDN w:val="0"/>
        <w:adjustRightInd w:val="0"/>
        <w:spacing w:before="120"/>
        <w:ind w:left="1560" w:hanging="567"/>
        <w:rPr>
          <w:rFonts w:ascii="Times New Roman" w:hAnsi="Times New Roman"/>
          <w:sz w:val="20"/>
          <w:szCs w:val="20"/>
        </w:rPr>
      </w:pPr>
      <w:r>
        <w:rPr>
          <w:rFonts w:ascii="Times New Roman" w:hAnsi="Times New Roman"/>
          <w:sz w:val="13"/>
          <w:szCs w:val="13"/>
        </w:rPr>
        <w:t xml:space="preserve">286 </w:t>
      </w:r>
      <w:r w:rsidR="00E531B8">
        <w:rPr>
          <w:rFonts w:ascii="Times New Roman" w:hAnsi="Times New Roman"/>
          <w:sz w:val="13"/>
          <w:szCs w:val="13"/>
        </w:rPr>
        <w:tab/>
      </w:r>
      <w:r>
        <w:rPr>
          <w:rFonts w:ascii="Times New Roman" w:hAnsi="Times New Roman"/>
          <w:i/>
          <w:iCs/>
          <w:sz w:val="20"/>
          <w:szCs w:val="20"/>
        </w:rPr>
        <w:t>Deutsche Telekom</w:t>
      </w:r>
      <w:r>
        <w:rPr>
          <w:rFonts w:ascii="Times New Roman" w:hAnsi="Times New Roman"/>
          <w:sz w:val="20"/>
          <w:szCs w:val="20"/>
        </w:rPr>
        <w:t>, paragraph 107.</w:t>
      </w:r>
    </w:p>
    <w:p w14:paraId="1A9C0478" w14:textId="0337753C" w:rsidR="0046681A" w:rsidRDefault="0010558D" w:rsidP="00824859">
      <w:pPr>
        <w:autoSpaceDE w:val="0"/>
        <w:autoSpaceDN w:val="0"/>
        <w:adjustRightInd w:val="0"/>
        <w:spacing w:before="120"/>
        <w:ind w:left="1560" w:hanging="567"/>
        <w:rPr>
          <w:rFonts w:ascii="Times New Roman" w:hAnsi="Times New Roman"/>
          <w:sz w:val="20"/>
          <w:szCs w:val="20"/>
        </w:rPr>
      </w:pPr>
      <w:r>
        <w:rPr>
          <w:rFonts w:ascii="Times New Roman" w:hAnsi="Times New Roman"/>
          <w:sz w:val="13"/>
          <w:szCs w:val="13"/>
        </w:rPr>
        <w:t>287</w:t>
      </w:r>
      <w:r w:rsidR="00E531B8">
        <w:rPr>
          <w:rFonts w:ascii="Times New Roman" w:hAnsi="Times New Roman"/>
          <w:sz w:val="13"/>
          <w:szCs w:val="13"/>
        </w:rPr>
        <w:tab/>
      </w:r>
      <w:r>
        <w:rPr>
          <w:rFonts w:ascii="Times New Roman" w:hAnsi="Times New Roman"/>
          <w:i/>
          <w:iCs/>
          <w:sz w:val="20"/>
          <w:szCs w:val="20"/>
        </w:rPr>
        <w:t xml:space="preserve">Napier Brown- British Sugar, </w:t>
      </w:r>
      <w:r>
        <w:rPr>
          <w:rFonts w:ascii="Times New Roman" w:hAnsi="Times New Roman"/>
          <w:sz w:val="20"/>
          <w:szCs w:val="20"/>
        </w:rPr>
        <w:t>paragraph 66.</w:t>
      </w:r>
    </w:p>
    <w:p w14:paraId="10E01C3B" w14:textId="6D7255DE" w:rsidR="00E531B8" w:rsidRDefault="00E531B8" w:rsidP="00824859">
      <w:pPr>
        <w:autoSpaceDE w:val="0"/>
        <w:autoSpaceDN w:val="0"/>
        <w:adjustRightInd w:val="0"/>
        <w:spacing w:before="120"/>
        <w:ind w:left="1560" w:hanging="567"/>
        <w:rPr>
          <w:rFonts w:ascii="Times New Roman" w:hAnsi="Times New Roman"/>
          <w:sz w:val="20"/>
          <w:szCs w:val="20"/>
        </w:rPr>
      </w:pPr>
      <w:r>
        <w:rPr>
          <w:rFonts w:ascii="Times New Roman" w:hAnsi="Times New Roman"/>
          <w:sz w:val="13"/>
          <w:szCs w:val="13"/>
        </w:rPr>
        <w:t>288</w:t>
      </w:r>
      <w:r>
        <w:rPr>
          <w:rFonts w:ascii="Times New Roman" w:hAnsi="Times New Roman"/>
          <w:sz w:val="13"/>
          <w:szCs w:val="13"/>
        </w:rPr>
        <w:tab/>
      </w:r>
      <w:r>
        <w:rPr>
          <w:rFonts w:ascii="Times New Roman" w:hAnsi="Times New Roman"/>
          <w:sz w:val="20"/>
          <w:szCs w:val="20"/>
        </w:rPr>
        <w:t>At the end of 2004, 97% of ADSL lines (including Telefonica's lines) in Spain used Telefonica's ATM network (</w:t>
      </w:r>
      <w:proofErr w:type="spellStart"/>
      <w:r>
        <w:rPr>
          <w:rFonts w:ascii="Times New Roman" w:hAnsi="Times New Roman"/>
          <w:sz w:val="20"/>
          <w:szCs w:val="20"/>
        </w:rPr>
        <w:t>GigADSL</w:t>
      </w:r>
      <w:proofErr w:type="spellEnd"/>
      <w:r>
        <w:rPr>
          <w:rFonts w:ascii="Times New Roman" w:hAnsi="Times New Roman"/>
          <w:sz w:val="20"/>
          <w:szCs w:val="20"/>
        </w:rPr>
        <w:t>) and 81% of ADSL lines (including Telefonica's lines) used its IP network (ADSLIP or ADSL-IP Total). See Table 60 in Annex A. Moreover, since 2001, Telefónica’s share in the national wholesale market has been more than 11 times bigger than that of its largest competitor.</w:t>
      </w:r>
    </w:p>
    <w:p w14:paraId="2822DFCE" w14:textId="1B09FADE" w:rsidR="00E531B8" w:rsidRDefault="00E531B8" w:rsidP="00824859">
      <w:pPr>
        <w:autoSpaceDE w:val="0"/>
        <w:autoSpaceDN w:val="0"/>
        <w:adjustRightInd w:val="0"/>
        <w:spacing w:before="120"/>
        <w:ind w:left="1560" w:hanging="567"/>
        <w:rPr>
          <w:rFonts w:ascii="Times New Roman" w:hAnsi="Times New Roman"/>
          <w:sz w:val="20"/>
          <w:szCs w:val="20"/>
        </w:rPr>
      </w:pPr>
      <w:r>
        <w:rPr>
          <w:rFonts w:ascii="Times New Roman" w:hAnsi="Times New Roman"/>
          <w:sz w:val="13"/>
          <w:szCs w:val="13"/>
        </w:rPr>
        <w:t>289</w:t>
      </w:r>
      <w:r>
        <w:rPr>
          <w:rFonts w:ascii="Times New Roman" w:hAnsi="Times New Roman"/>
          <w:sz w:val="13"/>
          <w:szCs w:val="13"/>
        </w:rPr>
        <w:tab/>
      </w:r>
      <w:r>
        <w:rPr>
          <w:rFonts w:ascii="Times New Roman" w:hAnsi="Times New Roman"/>
          <w:sz w:val="20"/>
          <w:szCs w:val="20"/>
        </w:rPr>
        <w:t xml:space="preserve">In its margin squeeze test between British Telecom's wholesale product </w:t>
      </w:r>
      <w:proofErr w:type="spellStart"/>
      <w:r>
        <w:rPr>
          <w:rFonts w:ascii="Times New Roman" w:hAnsi="Times New Roman"/>
          <w:i/>
          <w:iCs/>
          <w:sz w:val="20"/>
          <w:szCs w:val="20"/>
        </w:rPr>
        <w:t>IPStream</w:t>
      </w:r>
      <w:proofErr w:type="spellEnd"/>
      <w:r>
        <w:rPr>
          <w:rFonts w:ascii="Times New Roman" w:hAnsi="Times New Roman"/>
          <w:i/>
          <w:iCs/>
          <w:sz w:val="20"/>
          <w:szCs w:val="20"/>
        </w:rPr>
        <w:t xml:space="preserve"> </w:t>
      </w:r>
      <w:r>
        <w:rPr>
          <w:rFonts w:ascii="Times New Roman" w:hAnsi="Times New Roman"/>
          <w:sz w:val="20"/>
          <w:szCs w:val="20"/>
        </w:rPr>
        <w:t xml:space="preserve">(equivalent to </w:t>
      </w:r>
      <w:proofErr w:type="spellStart"/>
      <w:r>
        <w:rPr>
          <w:rFonts w:ascii="Times New Roman" w:hAnsi="Times New Roman"/>
          <w:sz w:val="20"/>
          <w:szCs w:val="20"/>
        </w:rPr>
        <w:t>Megavia</w:t>
      </w:r>
      <w:proofErr w:type="spellEnd"/>
      <w:r>
        <w:rPr>
          <w:rFonts w:ascii="Times New Roman" w:hAnsi="Times New Roman"/>
          <w:sz w:val="20"/>
          <w:szCs w:val="20"/>
        </w:rPr>
        <w:t xml:space="preserve">) and ATM interconnection (equivalent to </w:t>
      </w:r>
      <w:proofErr w:type="spellStart"/>
      <w:r>
        <w:rPr>
          <w:rFonts w:ascii="Times New Roman" w:hAnsi="Times New Roman"/>
          <w:i/>
          <w:iCs/>
          <w:sz w:val="20"/>
          <w:szCs w:val="20"/>
        </w:rPr>
        <w:t>GigADSL</w:t>
      </w:r>
      <w:proofErr w:type="spellEnd"/>
      <w:r>
        <w:rPr>
          <w:rFonts w:ascii="Times New Roman" w:hAnsi="Times New Roman"/>
          <w:sz w:val="20"/>
          <w:szCs w:val="20"/>
        </w:rPr>
        <w:t xml:space="preserve">), the British regulator </w:t>
      </w:r>
      <w:r>
        <w:rPr>
          <w:rFonts w:ascii="Times New Roman" w:hAnsi="Times New Roman"/>
          <w:i/>
          <w:iCs/>
          <w:sz w:val="20"/>
          <w:szCs w:val="20"/>
        </w:rPr>
        <w:t xml:space="preserve">"has taken as its benchmark for setting the margin, a new entrant today which has the same underlying cost function to BT (i.e. similarly efficient) but enters later and benefits from fewer economies of scale and scope." </w:t>
      </w:r>
      <w:r>
        <w:rPr>
          <w:rFonts w:ascii="Times New Roman" w:hAnsi="Times New Roman"/>
          <w:sz w:val="20"/>
          <w:szCs w:val="20"/>
        </w:rPr>
        <w:t xml:space="preserve">(See OFCOM, Direction Setting the Margin between </w:t>
      </w:r>
      <w:proofErr w:type="spellStart"/>
      <w:r>
        <w:rPr>
          <w:rFonts w:ascii="Times New Roman" w:hAnsi="Times New Roman"/>
          <w:sz w:val="20"/>
          <w:szCs w:val="20"/>
        </w:rPr>
        <w:t>IPStream</w:t>
      </w:r>
      <w:proofErr w:type="spellEnd"/>
      <w:r>
        <w:rPr>
          <w:rFonts w:ascii="Times New Roman" w:hAnsi="Times New Roman"/>
          <w:sz w:val="20"/>
          <w:szCs w:val="20"/>
        </w:rPr>
        <w:t xml:space="preserve"> and ATM interconnection prices, 26.08.04 at paragraph 2.205). In its response to the consultation on OFCOM's direction, Telefónica not only agreed with OFCOM's approach to </w:t>
      </w:r>
      <w:proofErr w:type="gramStart"/>
      <w:r>
        <w:rPr>
          <w:rFonts w:ascii="Times New Roman" w:hAnsi="Times New Roman"/>
          <w:sz w:val="20"/>
          <w:szCs w:val="20"/>
        </w:rPr>
        <w:t>take into account</w:t>
      </w:r>
      <w:proofErr w:type="gramEnd"/>
      <w:r>
        <w:rPr>
          <w:rFonts w:ascii="Times New Roman" w:hAnsi="Times New Roman"/>
          <w:sz w:val="20"/>
          <w:szCs w:val="20"/>
        </w:rPr>
        <w:t xml:space="preserve"> scale in the margin squeeze test but considered that the new entrants’ market shares used by OFCOM (20%-25%-30%) were unrealistically high. (See Telefónica UK Response to the Ofcom Consultation on a Draft Direction Setting the Margin between </w:t>
      </w:r>
      <w:proofErr w:type="spellStart"/>
      <w:r>
        <w:rPr>
          <w:rFonts w:ascii="Times New Roman" w:hAnsi="Times New Roman"/>
          <w:sz w:val="20"/>
          <w:szCs w:val="20"/>
        </w:rPr>
        <w:t>IPStream</w:t>
      </w:r>
      <w:proofErr w:type="spellEnd"/>
      <w:r>
        <w:rPr>
          <w:rFonts w:ascii="Times New Roman" w:hAnsi="Times New Roman"/>
          <w:sz w:val="20"/>
          <w:szCs w:val="20"/>
        </w:rPr>
        <w:t xml:space="preserve"> and ATM Interconnection Prices, 2nd July 2004 – page TFCA-3776 of the file).</w:t>
      </w:r>
    </w:p>
    <w:p w14:paraId="3B405467" w14:textId="6C385C94" w:rsidR="00E531B8" w:rsidRDefault="00E531B8" w:rsidP="00824859">
      <w:pPr>
        <w:autoSpaceDE w:val="0"/>
        <w:autoSpaceDN w:val="0"/>
        <w:adjustRightInd w:val="0"/>
        <w:spacing w:before="120"/>
        <w:ind w:left="1560" w:hanging="567"/>
        <w:rPr>
          <w:rFonts w:ascii="Times New Roman" w:hAnsi="Times New Roman"/>
          <w:sz w:val="20"/>
          <w:szCs w:val="20"/>
        </w:rPr>
      </w:pPr>
      <w:r>
        <w:rPr>
          <w:rFonts w:ascii="Times New Roman" w:hAnsi="Times New Roman"/>
          <w:sz w:val="13"/>
          <w:szCs w:val="13"/>
        </w:rPr>
        <w:t>290</w:t>
      </w:r>
      <w:r>
        <w:rPr>
          <w:rFonts w:ascii="Times New Roman" w:hAnsi="Times New Roman"/>
          <w:sz w:val="13"/>
          <w:szCs w:val="13"/>
        </w:rPr>
        <w:tab/>
      </w:r>
      <w:r>
        <w:rPr>
          <w:rFonts w:ascii="Times New Roman" w:hAnsi="Times New Roman"/>
          <w:sz w:val="20"/>
          <w:szCs w:val="20"/>
        </w:rPr>
        <w:t>See section 2 below regarding the choice of the cost standard. In this respect, in the above-mentioned margin squeeze test between British Telecom's wholesale products, Ofcom considered "</w:t>
      </w:r>
      <w:r>
        <w:rPr>
          <w:rFonts w:ascii="Times New Roman" w:hAnsi="Times New Roman"/>
          <w:i/>
          <w:iCs/>
          <w:sz w:val="20"/>
          <w:szCs w:val="20"/>
        </w:rPr>
        <w:t xml:space="preserve">that entrants are likely to benefit less from economies of scope than BT and considers it reasonable to take this into account when setting the margin, given the objective of promoting competition. Hence Ofcom’s benchmark of a similarly efficient entrant involves the same underlying cost function as BT’s, but smaller economies of scope. A reasonable method to implement this approach, when using BT’s cost information as a data source, is to factor in an allowance for the recovery of common costs in the margin squeeze analysis. On that basis the appropriate cost floor would be one that incorporates an element for the recovery of common costs: e.g. CCA FAC [current cost account fully allocated costs] or LRIC+ [LRIC plus a mark-up for the recovery of common costs]." </w:t>
      </w:r>
      <w:r>
        <w:rPr>
          <w:rFonts w:ascii="Times New Roman" w:hAnsi="Times New Roman"/>
          <w:sz w:val="20"/>
          <w:szCs w:val="20"/>
        </w:rPr>
        <w:t>(see paragraph 2.32).</w:t>
      </w:r>
    </w:p>
    <w:p w14:paraId="0E096C57" w14:textId="5860C241" w:rsidR="00E531B8" w:rsidRDefault="00E531B8" w:rsidP="00824859">
      <w:pPr>
        <w:autoSpaceDE w:val="0"/>
        <w:autoSpaceDN w:val="0"/>
        <w:adjustRightInd w:val="0"/>
        <w:spacing w:before="120"/>
        <w:ind w:left="1560" w:hanging="567"/>
      </w:pPr>
      <w:r>
        <w:rPr>
          <w:rFonts w:ascii="Times New Roman" w:hAnsi="Times New Roman"/>
          <w:sz w:val="13"/>
          <w:szCs w:val="13"/>
        </w:rPr>
        <w:t>291</w:t>
      </w:r>
      <w:r>
        <w:rPr>
          <w:rFonts w:ascii="Times New Roman" w:hAnsi="Times New Roman"/>
          <w:sz w:val="13"/>
          <w:szCs w:val="13"/>
        </w:rPr>
        <w:tab/>
      </w:r>
      <w:proofErr w:type="spellStart"/>
      <w:r>
        <w:rPr>
          <w:rFonts w:ascii="Times New Roman" w:hAnsi="Times New Roman"/>
          <w:sz w:val="20"/>
          <w:szCs w:val="20"/>
        </w:rPr>
        <w:t>See</w:t>
      </w:r>
      <w:r>
        <w:rPr>
          <w:rFonts w:ascii="Times New Roman" w:hAnsi="Times New Roman"/>
          <w:i/>
          <w:iCs/>
          <w:sz w:val="20"/>
          <w:szCs w:val="20"/>
        </w:rPr>
        <w:t>Reply</w:t>
      </w:r>
      <w:proofErr w:type="spellEnd"/>
      <w:r>
        <w:rPr>
          <w:rFonts w:ascii="Times New Roman" w:hAnsi="Times New Roman"/>
          <w:sz w:val="20"/>
          <w:szCs w:val="20"/>
        </w:rPr>
        <w:t>, page 97</w:t>
      </w:r>
      <w:r w:rsidR="00824859">
        <w:rPr>
          <w:rFonts w:ascii="Times New Roman" w:hAnsi="Times New Roman"/>
          <w:sz w:val="20"/>
          <w:szCs w:val="20"/>
        </w:rPr>
        <w:t>”</w:t>
      </w:r>
      <w:r>
        <w:rPr>
          <w:rFonts w:ascii="Times New Roman" w:hAnsi="Times New Roman"/>
          <w:sz w:val="20"/>
          <w:szCs w:val="20"/>
        </w:rPr>
        <w:t>.</w:t>
      </w:r>
    </w:p>
    <w:sectPr w:rsidR="00E531B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F706F" w14:textId="77777777" w:rsidR="00EB2D25" w:rsidRDefault="00EB2D25" w:rsidP="00EB2D25">
      <w:r>
        <w:separator/>
      </w:r>
    </w:p>
  </w:endnote>
  <w:endnote w:type="continuationSeparator" w:id="0">
    <w:p w14:paraId="5F4FD34B" w14:textId="77777777" w:rsidR="00EB2D25" w:rsidRDefault="00EB2D25" w:rsidP="00EB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F3FD" w14:textId="77777777" w:rsidR="00EB2D25" w:rsidRDefault="00EB2D25" w:rsidP="00EB2D25">
      <w:r>
        <w:separator/>
      </w:r>
    </w:p>
  </w:footnote>
  <w:footnote w:type="continuationSeparator" w:id="0">
    <w:p w14:paraId="71258327" w14:textId="77777777" w:rsidR="00EB2D25" w:rsidRDefault="00EB2D25" w:rsidP="00EB2D25">
      <w:r>
        <w:continuationSeparator/>
      </w:r>
    </w:p>
  </w:footnote>
  <w:footnote w:id="1">
    <w:p w14:paraId="72DFCFE0" w14:textId="42962088" w:rsidR="00EB2D25" w:rsidRPr="00EB2D25" w:rsidRDefault="00EB2D25">
      <w:pPr>
        <w:pStyle w:val="FootnoteText"/>
        <w:rPr>
          <w:rFonts w:cs="Tahoma"/>
          <w:sz w:val="16"/>
          <w:szCs w:val="16"/>
        </w:rPr>
      </w:pPr>
      <w:r>
        <w:rPr>
          <w:rStyle w:val="FootnoteReference"/>
        </w:rPr>
        <w:footnoteRef/>
      </w:r>
      <w:r>
        <w:t xml:space="preserve"> </w:t>
      </w:r>
      <w:r w:rsidRPr="00EB2D25">
        <w:rPr>
          <w:rFonts w:cs="Tahoma"/>
          <w:bCs/>
          <w:sz w:val="16"/>
          <w:szCs w:val="16"/>
        </w:rPr>
        <w:t xml:space="preserve">Commission Decision of 04.07.2007 relating to </w:t>
      </w:r>
      <w:proofErr w:type="gramStart"/>
      <w:r w:rsidRPr="00EB2D25">
        <w:rPr>
          <w:rFonts w:cs="Tahoma"/>
          <w:bCs/>
          <w:sz w:val="16"/>
          <w:szCs w:val="16"/>
        </w:rPr>
        <w:t>a proceedings</w:t>
      </w:r>
      <w:proofErr w:type="gramEnd"/>
      <w:r w:rsidRPr="00EB2D25">
        <w:rPr>
          <w:rFonts w:cs="Tahoma"/>
          <w:bCs/>
          <w:sz w:val="16"/>
          <w:szCs w:val="16"/>
        </w:rPr>
        <w:t xml:space="preserve"> under Article 82 of the EC Treaty (Case COMP/38.784 – </w:t>
      </w:r>
      <w:proofErr w:type="spellStart"/>
      <w:r w:rsidRPr="00EB2D25">
        <w:rPr>
          <w:rFonts w:cs="Tahoma"/>
          <w:bCs/>
          <w:sz w:val="16"/>
          <w:szCs w:val="16"/>
        </w:rPr>
        <w:t>Wanadoo</w:t>
      </w:r>
      <w:proofErr w:type="spellEnd"/>
      <w:r w:rsidRPr="00EB2D25">
        <w:rPr>
          <w:rFonts w:cs="Tahoma"/>
          <w:bCs/>
          <w:sz w:val="16"/>
          <w:szCs w:val="16"/>
        </w:rPr>
        <w:t xml:space="preserve"> </w:t>
      </w:r>
      <w:proofErr w:type="spellStart"/>
      <w:r w:rsidRPr="00EB2D25">
        <w:rPr>
          <w:rFonts w:cs="Tahoma"/>
          <w:bCs/>
          <w:sz w:val="16"/>
          <w:szCs w:val="16"/>
        </w:rPr>
        <w:t>España</w:t>
      </w:r>
      <w:proofErr w:type="spellEnd"/>
      <w:r w:rsidRPr="00EB2D25">
        <w:rPr>
          <w:rFonts w:cs="Tahoma"/>
          <w:bCs/>
          <w:sz w:val="16"/>
          <w:szCs w:val="16"/>
        </w:rPr>
        <w:t xml:space="preserve"> vs. Telefónica)</w:t>
      </w:r>
    </w:p>
  </w:footnote>
  <w:footnote w:id="2">
    <w:p w14:paraId="0FD53028" w14:textId="25E5445C" w:rsidR="0070692F" w:rsidRPr="0070692F" w:rsidRDefault="0070692F">
      <w:pPr>
        <w:pStyle w:val="FootnoteText"/>
        <w:rPr>
          <w:rFonts w:cs="Tahoma"/>
          <w:sz w:val="16"/>
          <w:szCs w:val="16"/>
        </w:rPr>
      </w:pPr>
      <w:r>
        <w:rPr>
          <w:rStyle w:val="FootnoteReference"/>
        </w:rPr>
        <w:footnoteRef/>
      </w:r>
      <w:r>
        <w:t xml:space="preserve"> </w:t>
      </w:r>
      <w:r w:rsidRPr="0070692F">
        <w:rPr>
          <w:rFonts w:cs="Tahoma"/>
          <w:bCs/>
          <w:sz w:val="16"/>
          <w:szCs w:val="16"/>
        </w:rPr>
        <w:t xml:space="preserve">Assessment of conduct, </w:t>
      </w:r>
      <w:r w:rsidRPr="0070692F">
        <w:rPr>
          <w:rFonts w:cs="Tahoma"/>
          <w:sz w:val="16"/>
          <w:szCs w:val="16"/>
        </w:rPr>
        <w:t>Draft competition law guideline for consultation</w:t>
      </w:r>
      <w:r>
        <w:rPr>
          <w:rFonts w:cs="Tahoma"/>
          <w:sz w:val="16"/>
          <w:szCs w:val="16"/>
        </w:rPr>
        <w:t>, Office for Fair Trading, OFT414</w:t>
      </w:r>
      <w:proofErr w:type="gramStart"/>
      <w:r>
        <w:rPr>
          <w:rFonts w:cs="Tahoma"/>
          <w:sz w:val="16"/>
          <w:szCs w:val="16"/>
        </w:rPr>
        <w:t>A,  April</w:t>
      </w:r>
      <w:proofErr w:type="gramEnd"/>
      <w:r>
        <w:rPr>
          <w:rFonts w:cs="Tahoma"/>
          <w:sz w:val="16"/>
          <w:szCs w:val="16"/>
        </w:rPr>
        <w:t xml:space="preserve"> 2004</w:t>
      </w:r>
    </w:p>
  </w:footnote>
  <w:footnote w:id="3">
    <w:p w14:paraId="3762AF13" w14:textId="0FA12697" w:rsidR="009B2BEF" w:rsidRPr="00CA7E4E" w:rsidRDefault="009B2BEF">
      <w:pPr>
        <w:pStyle w:val="FootnoteText"/>
        <w:rPr>
          <w:sz w:val="16"/>
          <w:szCs w:val="16"/>
        </w:rPr>
      </w:pPr>
      <w:r>
        <w:rPr>
          <w:rStyle w:val="FootnoteReference"/>
        </w:rPr>
        <w:footnoteRef/>
      </w:r>
      <w:r>
        <w:t xml:space="preserve"> </w:t>
      </w:r>
      <w:r w:rsidRPr="00CA7E4E">
        <w:rPr>
          <w:sz w:val="16"/>
          <w:szCs w:val="16"/>
        </w:rPr>
        <w:t>Ibid, page 28</w:t>
      </w:r>
    </w:p>
  </w:footnote>
  <w:footnote w:id="4">
    <w:p w14:paraId="5FF62866" w14:textId="45A30D0C" w:rsidR="009401E0" w:rsidRDefault="009401E0">
      <w:pPr>
        <w:pStyle w:val="FootnoteText"/>
      </w:pPr>
      <w:r w:rsidRPr="00CA7E4E">
        <w:rPr>
          <w:rStyle w:val="FootnoteReference"/>
          <w:sz w:val="16"/>
          <w:szCs w:val="16"/>
        </w:rPr>
        <w:footnoteRef/>
      </w:r>
      <w:r w:rsidRPr="00CA7E4E">
        <w:rPr>
          <w:sz w:val="16"/>
          <w:szCs w:val="16"/>
        </w:rPr>
        <w:t xml:space="preserve"> 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00A76"/>
    <w:multiLevelType w:val="hybridMultilevel"/>
    <w:tmpl w:val="F32A1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406BCB"/>
    <w:multiLevelType w:val="hybridMultilevel"/>
    <w:tmpl w:val="770C7340"/>
    <w:lvl w:ilvl="0" w:tplc="9324743A">
      <w:start w:val="1"/>
      <w:numFmt w:val="bullet"/>
      <w:pStyle w:val="ListParagraph"/>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 w15:restartNumberingAfterBreak="0">
    <w:nsid w:val="6A342BCF"/>
    <w:multiLevelType w:val="hybridMultilevel"/>
    <w:tmpl w:val="AAA61F86"/>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3" w15:restartNumberingAfterBreak="0">
    <w:nsid w:val="7A380381"/>
    <w:multiLevelType w:val="hybridMultilevel"/>
    <w:tmpl w:val="1C0C6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58D"/>
    <w:rsid w:val="0010558D"/>
    <w:rsid w:val="0024701B"/>
    <w:rsid w:val="00386E22"/>
    <w:rsid w:val="00395DA4"/>
    <w:rsid w:val="003D0F37"/>
    <w:rsid w:val="003D3567"/>
    <w:rsid w:val="0046681A"/>
    <w:rsid w:val="00495307"/>
    <w:rsid w:val="004B712C"/>
    <w:rsid w:val="004D3287"/>
    <w:rsid w:val="00530769"/>
    <w:rsid w:val="00703070"/>
    <w:rsid w:val="0070692F"/>
    <w:rsid w:val="00824859"/>
    <w:rsid w:val="009401E0"/>
    <w:rsid w:val="009B2BEF"/>
    <w:rsid w:val="009E4C57"/>
    <w:rsid w:val="00A6783B"/>
    <w:rsid w:val="00A8116C"/>
    <w:rsid w:val="00AA6B01"/>
    <w:rsid w:val="00AF3168"/>
    <w:rsid w:val="00CA7E4E"/>
    <w:rsid w:val="00D46B4D"/>
    <w:rsid w:val="00D5361F"/>
    <w:rsid w:val="00D63EE7"/>
    <w:rsid w:val="00E531B8"/>
    <w:rsid w:val="00E53F97"/>
    <w:rsid w:val="00EB2D25"/>
    <w:rsid w:val="00F34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69039"/>
  <w15:chartTrackingRefBased/>
  <w15:docId w15:val="{6C777DAF-2F97-4A50-B3BC-1AAA1D96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783B"/>
    <w:pPr>
      <w:spacing w:after="0" w:line="240" w:lineRule="auto"/>
    </w:pPr>
    <w:rPr>
      <w:rFonts w:ascii="Tahoma" w:hAnsi="Tahom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701B"/>
    <w:pPr>
      <w:spacing w:after="0" w:line="24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783B"/>
    <w:pPr>
      <w:numPr>
        <w:numId w:val="1"/>
      </w:numPr>
    </w:pPr>
    <w:rPr>
      <w:rFonts w:eastAsia="Calibri" w:cs="Tahoma"/>
      <w:noProof/>
      <w:lang w:eastAsia="en-GB"/>
    </w:rPr>
  </w:style>
  <w:style w:type="paragraph" w:styleId="FootnoteText">
    <w:name w:val="footnote text"/>
    <w:basedOn w:val="Normal"/>
    <w:link w:val="FootnoteTextChar"/>
    <w:uiPriority w:val="99"/>
    <w:semiHidden/>
    <w:unhideWhenUsed/>
    <w:rsid w:val="00EB2D25"/>
    <w:rPr>
      <w:sz w:val="20"/>
      <w:szCs w:val="20"/>
    </w:rPr>
  </w:style>
  <w:style w:type="character" w:customStyle="1" w:styleId="FootnoteTextChar">
    <w:name w:val="Footnote Text Char"/>
    <w:basedOn w:val="DefaultParagraphFont"/>
    <w:link w:val="FootnoteText"/>
    <w:uiPriority w:val="99"/>
    <w:semiHidden/>
    <w:rsid w:val="00EB2D25"/>
    <w:rPr>
      <w:rFonts w:ascii="Tahoma" w:hAnsi="Tahoma" w:cs="Times New Roman"/>
      <w:sz w:val="20"/>
      <w:szCs w:val="20"/>
    </w:rPr>
  </w:style>
  <w:style w:type="character" w:styleId="FootnoteReference">
    <w:name w:val="footnote reference"/>
    <w:basedOn w:val="DefaultParagraphFont"/>
    <w:uiPriority w:val="99"/>
    <w:semiHidden/>
    <w:unhideWhenUsed/>
    <w:rsid w:val="00EB2D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FCB4E-5812-440D-8272-913FC2E0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4</Pages>
  <Words>1692</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Harding</dc:creator>
  <cp:keywords/>
  <dc:description/>
  <cp:lastModifiedBy>Mike Harding</cp:lastModifiedBy>
  <cp:revision>4</cp:revision>
  <dcterms:created xsi:type="dcterms:W3CDTF">2018-03-27T10:22:00Z</dcterms:created>
  <dcterms:modified xsi:type="dcterms:W3CDTF">2018-06-06T09:09:00Z</dcterms:modified>
</cp:coreProperties>
</file>